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0809" w14:textId="77777777" w:rsidR="00BF23EA" w:rsidRPr="00C21972" w:rsidRDefault="00C00601" w:rsidP="00E2605F">
      <w:pPr>
        <w:spacing w:after="0" w:line="240" w:lineRule="auto"/>
        <w:rPr>
          <w:rFonts w:ascii="Arial Rounded MT Bold" w:hAnsi="Arial Rounded MT Bold" w:cs="Arial"/>
          <w:b/>
          <w:sz w:val="40"/>
          <w:szCs w:val="40"/>
        </w:rPr>
      </w:pPr>
      <w:r w:rsidRPr="00C21972">
        <w:rPr>
          <w:rFonts w:ascii="Arial Rounded MT Bold" w:hAnsi="Arial Rounded MT Bold" w:cs="Arial"/>
          <w:b/>
          <w:sz w:val="40"/>
          <w:szCs w:val="40"/>
        </w:rPr>
        <w:t xml:space="preserve">Versicherungsvertrag </w:t>
      </w:r>
    </w:p>
    <w:p w14:paraId="5E660BE6" w14:textId="77777777" w:rsidR="00E2605F" w:rsidRPr="00C21972" w:rsidRDefault="00E2605F" w:rsidP="00E2605F">
      <w:pPr>
        <w:spacing w:after="0" w:line="240" w:lineRule="auto"/>
        <w:rPr>
          <w:rFonts w:ascii="Arial Rounded MT Bold" w:hAnsi="Arial Rounded MT Bold" w:cs="Arial"/>
          <w:b/>
          <w:sz w:val="40"/>
          <w:szCs w:val="40"/>
        </w:rPr>
      </w:pPr>
    </w:p>
    <w:p w14:paraId="0BE34D1A" w14:textId="77777777" w:rsidR="00C00601" w:rsidRPr="00C21972" w:rsidRDefault="00C00601" w:rsidP="00E2605F">
      <w:pPr>
        <w:spacing w:after="0" w:line="240" w:lineRule="auto"/>
        <w:rPr>
          <w:rFonts w:ascii="Arial Rounded MT Bold" w:hAnsi="Arial Rounded MT Bold" w:cs="Arial"/>
          <w:b/>
          <w:sz w:val="30"/>
          <w:szCs w:val="30"/>
        </w:rPr>
      </w:pPr>
      <w:r w:rsidRPr="00C21972">
        <w:rPr>
          <w:rFonts w:ascii="Arial Rounded MT Bold" w:hAnsi="Arial Rounded MT Bold" w:cs="Arial"/>
          <w:b/>
          <w:sz w:val="30"/>
          <w:szCs w:val="30"/>
        </w:rPr>
        <w:t>Rollsrein Inhaltsversicherung für Lagergut</w:t>
      </w:r>
    </w:p>
    <w:p w14:paraId="2A118A0E" w14:textId="77777777" w:rsidR="00CA406F" w:rsidRPr="00C21972" w:rsidRDefault="00CA406F" w:rsidP="00E2605F">
      <w:pPr>
        <w:spacing w:after="0" w:line="240" w:lineRule="auto"/>
        <w:rPr>
          <w:rFonts w:ascii="Arial Rounded MT Bold" w:hAnsi="Arial Rounded MT Bold" w:cs="Arial"/>
          <w:b/>
          <w:sz w:val="30"/>
          <w:szCs w:val="30"/>
        </w:rPr>
      </w:pPr>
    </w:p>
    <w:p w14:paraId="7DEA09FB" w14:textId="77777777" w:rsidR="00C00601" w:rsidRPr="00C21972" w:rsidRDefault="00C00601" w:rsidP="00E2605F">
      <w:pPr>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Rollsrein GmbH, </w:t>
      </w:r>
      <w:proofErr w:type="spellStart"/>
      <w:r w:rsidRPr="00C21972">
        <w:rPr>
          <w:rFonts w:ascii="Arial Rounded MT Bold" w:hAnsi="Arial Rounded MT Bold" w:cs="Arial"/>
          <w:sz w:val="20"/>
          <w:szCs w:val="20"/>
        </w:rPr>
        <w:t>Usingerstraße</w:t>
      </w:r>
      <w:proofErr w:type="spellEnd"/>
      <w:r w:rsidRPr="00C21972">
        <w:rPr>
          <w:rFonts w:ascii="Arial Rounded MT Bold" w:hAnsi="Arial Rounded MT Bold" w:cs="Arial"/>
          <w:sz w:val="20"/>
          <w:szCs w:val="20"/>
        </w:rPr>
        <w:t xml:space="preserve"> 11, 63189 Schmitten-</w:t>
      </w:r>
      <w:proofErr w:type="spellStart"/>
      <w:r w:rsidRPr="00C21972">
        <w:rPr>
          <w:rFonts w:ascii="Arial Rounded MT Bold" w:hAnsi="Arial Rounded MT Bold" w:cs="Arial"/>
          <w:sz w:val="20"/>
          <w:szCs w:val="20"/>
        </w:rPr>
        <w:t>Bormbach</w:t>
      </w:r>
      <w:proofErr w:type="spellEnd"/>
    </w:p>
    <w:p w14:paraId="168DECA7" w14:textId="77777777" w:rsidR="00CA406F" w:rsidRPr="00C21972" w:rsidRDefault="00CA406F" w:rsidP="00E2605F">
      <w:pPr>
        <w:spacing w:after="0" w:line="240" w:lineRule="auto"/>
        <w:rPr>
          <w:rFonts w:ascii="Arial Rounded MT Bold" w:hAnsi="Arial Rounded MT Bold" w:cs="Arial"/>
          <w:sz w:val="20"/>
          <w:szCs w:val="20"/>
        </w:rPr>
      </w:pPr>
    </w:p>
    <w:p w14:paraId="5DBC8FEB" w14:textId="77777777" w:rsidR="00C00601" w:rsidRPr="00C21972" w:rsidRDefault="00C00601" w:rsidP="00E2605F">
      <w:pPr>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Nachfolgend Vermieter genannt</w:t>
      </w:r>
    </w:p>
    <w:p w14:paraId="13568A97" w14:textId="6308BBB7" w:rsidR="00F3283B" w:rsidRDefault="00F3283B" w:rsidP="00E2605F">
      <w:pPr>
        <w:tabs>
          <w:tab w:val="left" w:pos="0"/>
          <w:tab w:val="left" w:pos="3261"/>
          <w:tab w:val="left" w:pos="7088"/>
        </w:tabs>
        <w:spacing w:after="0" w:line="240" w:lineRule="auto"/>
        <w:rPr>
          <w:rFonts w:ascii="Arial Rounded MT Bold" w:hAnsi="Arial Rounded MT Bold" w:cs="Arial"/>
          <w:sz w:val="20"/>
          <w:szCs w:val="20"/>
        </w:rPr>
      </w:pPr>
    </w:p>
    <w:p w14:paraId="614964EB" w14:textId="759B1671" w:rsidR="00882CA3" w:rsidRPr="00C21972" w:rsidRDefault="00882CA3" w:rsidP="00E2605F">
      <w:pPr>
        <w:tabs>
          <w:tab w:val="left" w:pos="0"/>
          <w:tab w:val="left" w:pos="3261"/>
          <w:tab w:val="left" w:pos="7088"/>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Nachfolgend Mieter</w:t>
      </w:r>
      <w:r w:rsidR="00F3283B">
        <w:rPr>
          <w:rFonts w:ascii="Arial Rounded MT Bold" w:hAnsi="Arial Rounded MT Bold" w:cs="Arial"/>
          <w:sz w:val="20"/>
          <w:szCs w:val="20"/>
        </w:rPr>
        <w:t xml:space="preserve"> (Daten im Mietvertrag)</w:t>
      </w:r>
      <w:r w:rsidRPr="00C21972">
        <w:rPr>
          <w:rFonts w:ascii="Arial Rounded MT Bold" w:hAnsi="Arial Rounded MT Bold" w:cs="Arial"/>
          <w:sz w:val="20"/>
          <w:szCs w:val="20"/>
        </w:rPr>
        <w:t xml:space="preserve"> genannt</w:t>
      </w:r>
    </w:p>
    <w:p w14:paraId="57B17A57" w14:textId="77777777" w:rsidR="00882CA3" w:rsidRPr="00C21972" w:rsidRDefault="00882CA3" w:rsidP="00376A96">
      <w:pPr>
        <w:tabs>
          <w:tab w:val="left" w:pos="0"/>
          <w:tab w:val="left" w:pos="3544"/>
          <w:tab w:val="left" w:pos="7088"/>
        </w:tabs>
        <w:spacing w:after="0" w:line="240" w:lineRule="auto"/>
        <w:rPr>
          <w:rFonts w:ascii="Arial Rounded MT Bold" w:hAnsi="Arial Rounded MT Bold" w:cs="Arial"/>
          <w:sz w:val="20"/>
          <w:szCs w:val="20"/>
        </w:rPr>
      </w:pPr>
    </w:p>
    <w:p w14:paraId="4EAF35D2" w14:textId="77777777" w:rsidR="00882CA3" w:rsidRPr="00C21972" w:rsidRDefault="00882CA3" w:rsidP="00E2605F">
      <w:pPr>
        <w:tabs>
          <w:tab w:val="left" w:pos="0"/>
          <w:tab w:val="left" w:pos="3261"/>
          <w:tab w:val="left" w:pos="7088"/>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Schließen folgenden Versicherungsvertrag </w:t>
      </w:r>
    </w:p>
    <w:p w14:paraId="32B08771" w14:textId="77777777" w:rsidR="00882CA3" w:rsidRPr="00C21972" w:rsidRDefault="00882CA3" w:rsidP="00E2605F">
      <w:pPr>
        <w:tabs>
          <w:tab w:val="left" w:pos="0"/>
          <w:tab w:val="left" w:pos="3261"/>
          <w:tab w:val="left" w:pos="7088"/>
        </w:tabs>
        <w:spacing w:after="0" w:line="240" w:lineRule="auto"/>
        <w:rPr>
          <w:rFonts w:ascii="Arial Rounded MT Bold" w:hAnsi="Arial Rounded MT Bold" w:cs="Arial"/>
          <w:sz w:val="20"/>
          <w:szCs w:val="20"/>
        </w:rPr>
      </w:pPr>
    </w:p>
    <w:p w14:paraId="36CDE7D7" w14:textId="6F8F0303" w:rsidR="00C21972" w:rsidRPr="00C21972" w:rsidRDefault="00897D0F" w:rsidP="00E2605F">
      <w:pPr>
        <w:tabs>
          <w:tab w:val="left" w:pos="0"/>
          <w:tab w:val="left" w:pos="3402"/>
          <w:tab w:val="left" w:pos="7088"/>
        </w:tabs>
        <w:spacing w:after="0" w:line="240" w:lineRule="auto"/>
        <w:rPr>
          <w:rFonts w:ascii="Arial Rounded MT Bold" w:hAnsi="Arial Rounded MT Bold" w:cs="Arial"/>
          <w:sz w:val="20"/>
          <w:szCs w:val="20"/>
          <w:u w:val="single"/>
        </w:rPr>
      </w:pPr>
      <w:proofErr w:type="gramStart"/>
      <w:r w:rsidRPr="00DF573B">
        <w:rPr>
          <w:rFonts w:ascii="Arial Rounded MT Bold" w:hAnsi="Arial Rounded MT Bold" w:cs="Arial"/>
          <w:sz w:val="20"/>
          <w:szCs w:val="20"/>
          <w:highlight w:val="yellow"/>
        </w:rPr>
        <w:t>Name:_</w:t>
      </w:r>
      <w:proofErr w:type="gramEnd"/>
      <w:r w:rsidRPr="00DF573B">
        <w:rPr>
          <w:rFonts w:ascii="Arial Rounded MT Bold" w:hAnsi="Arial Rounded MT Bold" w:cs="Arial"/>
          <w:sz w:val="20"/>
          <w:szCs w:val="20"/>
          <w:highlight w:val="yellow"/>
        </w:rPr>
        <w:t>____________________________       Vorname:______________________________</w:t>
      </w:r>
    </w:p>
    <w:p w14:paraId="1444039E" w14:textId="77777777" w:rsidR="008C12E9" w:rsidRPr="00C21972" w:rsidRDefault="008C12E9" w:rsidP="00E2605F">
      <w:pPr>
        <w:tabs>
          <w:tab w:val="left" w:pos="0"/>
          <w:tab w:val="left" w:pos="3402"/>
          <w:tab w:val="left" w:pos="7088"/>
        </w:tabs>
        <w:spacing w:after="0" w:line="240" w:lineRule="auto"/>
        <w:rPr>
          <w:rFonts w:ascii="Arial Rounded MT Bold" w:hAnsi="Arial Rounded MT Bold" w:cs="Arial"/>
          <w:sz w:val="20"/>
          <w:szCs w:val="20"/>
          <w:u w:val="single"/>
        </w:rPr>
      </w:pPr>
    </w:p>
    <w:p w14:paraId="104B7614" w14:textId="0ADC9CD5" w:rsidR="008C12E9" w:rsidRPr="00C21972" w:rsidRDefault="008C12E9" w:rsidP="001E6E2B">
      <w:pPr>
        <w:tabs>
          <w:tab w:val="left" w:pos="0"/>
          <w:tab w:val="left" w:pos="3402"/>
          <w:tab w:val="left" w:pos="7088"/>
          <w:tab w:val="left" w:pos="8080"/>
          <w:tab w:val="left" w:pos="8789"/>
        </w:tabs>
        <w:spacing w:after="0" w:line="240" w:lineRule="auto"/>
        <w:rPr>
          <w:rFonts w:ascii="Arial Rounded MT Bold" w:hAnsi="Arial Rounded MT Bold" w:cs="Arial"/>
          <w:sz w:val="20"/>
          <w:szCs w:val="20"/>
          <w:u w:val="single"/>
        </w:rPr>
      </w:pPr>
      <w:r w:rsidRPr="00DF573B">
        <w:rPr>
          <w:rFonts w:ascii="Arial Rounded MT Bold" w:hAnsi="Arial Rounded MT Bold" w:cs="Arial"/>
          <w:sz w:val="20"/>
          <w:szCs w:val="20"/>
          <w:highlight w:val="yellow"/>
        </w:rPr>
        <w:t xml:space="preserve">Der Mieter schließt </w:t>
      </w:r>
      <w:r w:rsidR="00897D0F" w:rsidRPr="00DF573B">
        <w:rPr>
          <w:rFonts w:ascii="Arial Rounded MT Bold" w:hAnsi="Arial Rounded MT Bold" w:cs="Arial"/>
          <w:sz w:val="20"/>
          <w:szCs w:val="20"/>
          <w:highlight w:val="yellow"/>
        </w:rPr>
        <w:t xml:space="preserve">mindestens eine Grund Versicherungsschutz ab, oder erhöht die Versicherungssumme auf Punkt </w:t>
      </w:r>
      <w:r w:rsidR="00A35A6F" w:rsidRPr="00DF573B">
        <w:rPr>
          <w:rFonts w:ascii="Arial Rounded MT Bold" w:hAnsi="Arial Rounded MT Bold" w:cs="Arial"/>
          <w:sz w:val="20"/>
          <w:szCs w:val="20"/>
          <w:highlight w:val="yellow"/>
        </w:rPr>
        <w:t xml:space="preserve">5 </w:t>
      </w:r>
      <w:r w:rsidR="00897D0F" w:rsidRPr="00DF573B">
        <w:rPr>
          <w:rFonts w:ascii="Arial Rounded MT Bold" w:hAnsi="Arial Rounded MT Bold" w:cs="Arial"/>
          <w:sz w:val="20"/>
          <w:szCs w:val="20"/>
          <w:highlight w:val="yellow"/>
        </w:rPr>
        <w:t>auf.</w:t>
      </w:r>
      <w:r w:rsidR="00A35A6F">
        <w:rPr>
          <w:rFonts w:ascii="Arial Rounded MT Bold" w:hAnsi="Arial Rounded MT Bold" w:cs="Arial"/>
          <w:sz w:val="20"/>
          <w:szCs w:val="20"/>
        </w:rPr>
        <w:t xml:space="preserve"> </w:t>
      </w:r>
    </w:p>
    <w:p w14:paraId="39FDA127" w14:textId="77777777" w:rsidR="009C456B" w:rsidRPr="00C21972" w:rsidRDefault="009C456B" w:rsidP="00E2605F">
      <w:pPr>
        <w:tabs>
          <w:tab w:val="left" w:pos="0"/>
          <w:tab w:val="left" w:pos="3402"/>
          <w:tab w:val="left" w:pos="7088"/>
          <w:tab w:val="left" w:pos="8080"/>
        </w:tabs>
        <w:spacing w:after="0" w:line="240" w:lineRule="auto"/>
        <w:rPr>
          <w:rFonts w:ascii="Arial Rounded MT Bold" w:hAnsi="Arial Rounded MT Bold" w:cs="Arial"/>
          <w:sz w:val="20"/>
          <w:szCs w:val="20"/>
          <w:u w:val="single"/>
        </w:rPr>
      </w:pPr>
    </w:p>
    <w:p w14:paraId="521C1E5F" w14:textId="77777777" w:rsidR="009C456B" w:rsidRPr="00C21972" w:rsidRDefault="009C456B" w:rsidP="00E2605F">
      <w:pPr>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Die Laufzeit des Versicherungsvertrags entspricht derjenigen des zugrunde</w:t>
      </w:r>
      <w:r w:rsidR="001F31ED" w:rsidRPr="00C21972">
        <w:rPr>
          <w:rFonts w:ascii="Arial Rounded MT Bold" w:hAnsi="Arial Rounded MT Bold" w:cs="Arial"/>
          <w:sz w:val="20"/>
          <w:szCs w:val="20"/>
        </w:rPr>
        <w:t xml:space="preserve">liegenden Mietvertrags. </w:t>
      </w:r>
    </w:p>
    <w:p w14:paraId="1BC60E1C" w14:textId="77777777" w:rsidR="001F31ED" w:rsidRPr="00C21972" w:rsidRDefault="001F31ED" w:rsidP="00E2605F">
      <w:pPr>
        <w:tabs>
          <w:tab w:val="left" w:pos="0"/>
          <w:tab w:val="left" w:pos="3402"/>
          <w:tab w:val="left" w:pos="7088"/>
          <w:tab w:val="left" w:pos="8080"/>
        </w:tabs>
        <w:spacing w:after="0" w:line="240" w:lineRule="auto"/>
        <w:rPr>
          <w:rFonts w:ascii="Arial Rounded MT Bold" w:hAnsi="Arial Rounded MT Bold" w:cs="Arial"/>
          <w:sz w:val="20"/>
          <w:szCs w:val="20"/>
        </w:rPr>
      </w:pPr>
    </w:p>
    <w:p w14:paraId="18181BB8" w14:textId="77777777" w:rsidR="001F31ED" w:rsidRPr="00C21972" w:rsidRDefault="001F31ED" w:rsidP="00E2605F">
      <w:pPr>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Die Versicherungsprämie richtet sich nach dem gewählten Versicherungsschutz und beträgt für jeweils 1 Monat inklusive Versicherungssteuer.</w:t>
      </w:r>
    </w:p>
    <w:p w14:paraId="6FEC299F" w14:textId="77777777" w:rsidR="001F31ED" w:rsidRPr="00C21972" w:rsidRDefault="001F31ED" w:rsidP="00E2605F">
      <w:pPr>
        <w:tabs>
          <w:tab w:val="left" w:pos="0"/>
          <w:tab w:val="left" w:pos="3402"/>
          <w:tab w:val="left" w:pos="7088"/>
          <w:tab w:val="left" w:pos="8080"/>
        </w:tabs>
        <w:spacing w:after="0" w:line="240" w:lineRule="auto"/>
        <w:rPr>
          <w:rFonts w:ascii="Arial Rounded MT Bold" w:hAnsi="Arial Rounded MT Bold" w:cs="Arial"/>
          <w:sz w:val="20"/>
          <w:szCs w:val="20"/>
        </w:rPr>
      </w:pPr>
    </w:p>
    <w:p w14:paraId="5205B96A" w14:textId="77777777" w:rsidR="001F31ED" w:rsidRPr="00C21972" w:rsidRDefault="001F31ED" w:rsidP="00E2605F">
      <w:pPr>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Die Prämie inkl. Versicherungssteuer wird vom Vermieter von dem im Mietvertrag angegebenen Konto abgeführt. </w:t>
      </w:r>
    </w:p>
    <w:p w14:paraId="40A6ECB4" w14:textId="77777777" w:rsidR="001F31ED" w:rsidRPr="007270CE" w:rsidRDefault="001F31ED" w:rsidP="00E2605F">
      <w:pPr>
        <w:tabs>
          <w:tab w:val="left" w:pos="0"/>
          <w:tab w:val="left" w:pos="3402"/>
          <w:tab w:val="left" w:pos="7088"/>
          <w:tab w:val="left" w:pos="8080"/>
        </w:tabs>
        <w:spacing w:after="0" w:line="240" w:lineRule="auto"/>
        <w:rPr>
          <w:rFonts w:ascii="Arial Rounded MT Bold" w:hAnsi="Arial Rounded MT Bold" w:cs="Arial"/>
          <w:i/>
          <w:sz w:val="24"/>
          <w:szCs w:val="24"/>
        </w:rPr>
      </w:pPr>
    </w:p>
    <w:p w14:paraId="5ED37D05" w14:textId="77777777" w:rsidR="001F31ED" w:rsidRPr="007270CE" w:rsidRDefault="001F31ED" w:rsidP="00E2605F">
      <w:pPr>
        <w:pStyle w:val="Listenabsatz"/>
        <w:numPr>
          <w:ilvl w:val="0"/>
          <w:numId w:val="2"/>
        </w:numPr>
        <w:tabs>
          <w:tab w:val="left" w:pos="0"/>
          <w:tab w:val="left" w:pos="3402"/>
          <w:tab w:val="left" w:pos="7088"/>
          <w:tab w:val="left" w:pos="8080"/>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t xml:space="preserve">Versicherungsgrundlagen </w:t>
      </w:r>
    </w:p>
    <w:p w14:paraId="72701B87" w14:textId="77777777" w:rsidR="001F31ED" w:rsidRPr="00C21972" w:rsidRDefault="001F31ED" w:rsidP="00E2605F">
      <w:pPr>
        <w:pStyle w:val="Listenabsatz"/>
        <w:tabs>
          <w:tab w:val="left" w:pos="0"/>
          <w:tab w:val="left" w:pos="3402"/>
          <w:tab w:val="left" w:pos="7088"/>
          <w:tab w:val="left" w:pos="8080"/>
        </w:tabs>
        <w:spacing w:after="0" w:line="240" w:lineRule="auto"/>
        <w:rPr>
          <w:rFonts w:ascii="Arial Rounded MT Bold" w:hAnsi="Arial Rounded MT Bold" w:cs="Arial"/>
          <w:b/>
          <w:sz w:val="20"/>
          <w:szCs w:val="20"/>
        </w:rPr>
      </w:pPr>
    </w:p>
    <w:p w14:paraId="51DD0DC4" w14:textId="77777777" w:rsidR="001F31ED" w:rsidRPr="00C21972" w:rsidRDefault="001F31ED"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Der Versicherungsschutz basiert auf den Allgemeinen Bedingungen für die Allianz Firmen Inhaltsversicherung (BFINH) </w:t>
      </w:r>
    </w:p>
    <w:p w14:paraId="2865FEA2" w14:textId="77777777" w:rsidR="001F31ED" w:rsidRPr="00C21972" w:rsidRDefault="001F31ED"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p>
    <w:p w14:paraId="6BE64BF0" w14:textId="77777777" w:rsidR="001F31ED" w:rsidRPr="007270CE" w:rsidRDefault="001F31ED" w:rsidP="00E2605F">
      <w:pPr>
        <w:pStyle w:val="Listenabsatz"/>
        <w:numPr>
          <w:ilvl w:val="0"/>
          <w:numId w:val="2"/>
        </w:numPr>
        <w:tabs>
          <w:tab w:val="left" w:pos="0"/>
          <w:tab w:val="left" w:pos="3402"/>
          <w:tab w:val="left" w:pos="7088"/>
          <w:tab w:val="left" w:pos="8080"/>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t xml:space="preserve">Versicherte Gefahren und Schäden </w:t>
      </w:r>
    </w:p>
    <w:p w14:paraId="7CFC3423" w14:textId="77777777" w:rsidR="00070859" w:rsidRPr="00C21972" w:rsidRDefault="00070859" w:rsidP="00E2605F">
      <w:pPr>
        <w:pStyle w:val="Listenabsatz"/>
        <w:tabs>
          <w:tab w:val="left" w:pos="0"/>
          <w:tab w:val="left" w:pos="3402"/>
          <w:tab w:val="left" w:pos="7088"/>
          <w:tab w:val="left" w:pos="8080"/>
        </w:tabs>
        <w:spacing w:after="0" w:line="240" w:lineRule="auto"/>
        <w:rPr>
          <w:rFonts w:ascii="Arial Rounded MT Bold" w:hAnsi="Arial Rounded MT Bold" w:cs="Arial"/>
          <w:b/>
          <w:sz w:val="20"/>
          <w:szCs w:val="20"/>
        </w:rPr>
      </w:pPr>
    </w:p>
    <w:p w14:paraId="72692FF4" w14:textId="77777777" w:rsidR="00070859" w:rsidRPr="00C21972" w:rsidRDefault="00070859"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Der Versicherer leistet Entschädigung für versicherte Sachen, die durch die nachstehend ausgeführten Gefahren zerstört oder beschädigt werden oder abhandenkommen: </w:t>
      </w:r>
    </w:p>
    <w:p w14:paraId="48618C9D" w14:textId="77777777" w:rsidR="00070859" w:rsidRPr="00C21972" w:rsidRDefault="00070859"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p>
    <w:p w14:paraId="615C4F4E" w14:textId="77777777" w:rsidR="00070859" w:rsidRPr="00C21972" w:rsidRDefault="00070859" w:rsidP="00E2605F">
      <w:pPr>
        <w:pStyle w:val="Listenabsatz"/>
        <w:numPr>
          <w:ilvl w:val="0"/>
          <w:numId w:val="3"/>
        </w:numPr>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Brand, Blitzschlag, Explosion, Anprall oder Absturz eines bemannten Flugkörpers, seiner Teile oder seiner Ladung. </w:t>
      </w:r>
    </w:p>
    <w:p w14:paraId="2D5B4F3C" w14:textId="77777777" w:rsidR="00070859" w:rsidRPr="00C21972" w:rsidRDefault="00070859" w:rsidP="00E2605F">
      <w:pPr>
        <w:pStyle w:val="Listenabsatz"/>
        <w:numPr>
          <w:ilvl w:val="0"/>
          <w:numId w:val="3"/>
        </w:numPr>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Einbruch, Diebstahl, Raub </w:t>
      </w:r>
    </w:p>
    <w:p w14:paraId="22FB79DB" w14:textId="77777777" w:rsidR="00070859" w:rsidRPr="00C21972" w:rsidRDefault="00070859" w:rsidP="00E2605F">
      <w:pPr>
        <w:pStyle w:val="Listenabsatz"/>
        <w:numPr>
          <w:ilvl w:val="0"/>
          <w:numId w:val="3"/>
        </w:numPr>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Vandalismus nach einem Einbruch</w:t>
      </w:r>
    </w:p>
    <w:p w14:paraId="247E7DDC" w14:textId="77777777" w:rsidR="00070859" w:rsidRPr="00C21972" w:rsidRDefault="00070859" w:rsidP="00E2605F">
      <w:pPr>
        <w:pStyle w:val="Listenabsatz"/>
        <w:numPr>
          <w:ilvl w:val="0"/>
          <w:numId w:val="3"/>
        </w:numPr>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Leitungswasser </w:t>
      </w:r>
    </w:p>
    <w:p w14:paraId="23AF1659" w14:textId="77777777" w:rsidR="00070859" w:rsidRPr="00C21972" w:rsidRDefault="00070859" w:rsidP="00E2605F">
      <w:pPr>
        <w:pStyle w:val="Listenabsatz"/>
        <w:numPr>
          <w:ilvl w:val="0"/>
          <w:numId w:val="3"/>
        </w:numPr>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Sturm</w:t>
      </w:r>
    </w:p>
    <w:p w14:paraId="0EF91B5E" w14:textId="77777777" w:rsidR="00070859" w:rsidRPr="00C21972" w:rsidRDefault="00070859" w:rsidP="00E2605F">
      <w:pPr>
        <w:pStyle w:val="Listenabsatz"/>
        <w:numPr>
          <w:ilvl w:val="0"/>
          <w:numId w:val="3"/>
        </w:numPr>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Hagel</w:t>
      </w:r>
    </w:p>
    <w:p w14:paraId="2F8EDF91" w14:textId="77777777" w:rsidR="006262EE" w:rsidRPr="00C21972" w:rsidRDefault="006262EE" w:rsidP="00E2605F">
      <w:pPr>
        <w:tabs>
          <w:tab w:val="left" w:pos="0"/>
          <w:tab w:val="left" w:pos="3402"/>
          <w:tab w:val="left" w:pos="7088"/>
          <w:tab w:val="left" w:pos="8080"/>
        </w:tabs>
        <w:spacing w:after="0" w:line="240" w:lineRule="auto"/>
        <w:rPr>
          <w:rFonts w:ascii="Arial Rounded MT Bold" w:hAnsi="Arial Rounded MT Bold" w:cs="Arial"/>
          <w:sz w:val="20"/>
          <w:szCs w:val="20"/>
        </w:rPr>
      </w:pPr>
    </w:p>
    <w:p w14:paraId="17238B01" w14:textId="77777777" w:rsidR="00CA406F" w:rsidRPr="00C21972" w:rsidRDefault="00CA406F" w:rsidP="00E2605F">
      <w:pPr>
        <w:tabs>
          <w:tab w:val="left" w:pos="0"/>
          <w:tab w:val="left" w:pos="3402"/>
          <w:tab w:val="left" w:pos="7088"/>
          <w:tab w:val="left" w:pos="8080"/>
        </w:tabs>
        <w:spacing w:after="0" w:line="240" w:lineRule="auto"/>
        <w:rPr>
          <w:rFonts w:ascii="Arial Rounded MT Bold" w:hAnsi="Arial Rounded MT Bold" w:cs="Arial"/>
          <w:sz w:val="20"/>
          <w:szCs w:val="20"/>
        </w:rPr>
      </w:pPr>
    </w:p>
    <w:p w14:paraId="49986A39" w14:textId="77777777" w:rsidR="00070859" w:rsidRPr="007270CE" w:rsidRDefault="00070859" w:rsidP="00E2605F">
      <w:pPr>
        <w:pStyle w:val="Listenabsatz"/>
        <w:numPr>
          <w:ilvl w:val="0"/>
          <w:numId w:val="2"/>
        </w:numPr>
        <w:tabs>
          <w:tab w:val="left" w:pos="0"/>
          <w:tab w:val="left" w:pos="3402"/>
          <w:tab w:val="left" w:pos="7088"/>
          <w:tab w:val="left" w:pos="8080"/>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t>Versicherungsort</w:t>
      </w:r>
    </w:p>
    <w:p w14:paraId="772FE3C5" w14:textId="77777777" w:rsidR="00070859" w:rsidRPr="00C21972" w:rsidRDefault="00070859" w:rsidP="00E2605F">
      <w:pPr>
        <w:pStyle w:val="Listenabsatz"/>
        <w:tabs>
          <w:tab w:val="left" w:pos="0"/>
          <w:tab w:val="left" w:pos="3402"/>
          <w:tab w:val="left" w:pos="7088"/>
          <w:tab w:val="left" w:pos="8080"/>
        </w:tabs>
        <w:spacing w:after="0" w:line="240" w:lineRule="auto"/>
        <w:rPr>
          <w:rFonts w:ascii="Arial Rounded MT Bold" w:hAnsi="Arial Rounded MT Bold" w:cs="Arial"/>
          <w:b/>
          <w:sz w:val="20"/>
          <w:szCs w:val="20"/>
        </w:rPr>
      </w:pPr>
    </w:p>
    <w:p w14:paraId="0341FF52" w14:textId="77777777" w:rsidR="00E2605F" w:rsidRPr="00C21972" w:rsidRDefault="00070859" w:rsidP="00CA406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Abweichend </w:t>
      </w:r>
      <w:r w:rsidR="00A04B86" w:rsidRPr="00C21972">
        <w:rPr>
          <w:rFonts w:ascii="Arial Rounded MT Bold" w:hAnsi="Arial Rounded MT Bold" w:cs="Arial"/>
          <w:sz w:val="20"/>
          <w:szCs w:val="20"/>
        </w:rPr>
        <w:t>von der Ziffer</w:t>
      </w:r>
      <w:r w:rsidRPr="00C21972">
        <w:rPr>
          <w:rFonts w:ascii="Arial Rounded MT Bold" w:hAnsi="Arial Rounded MT Bold" w:cs="Arial"/>
          <w:sz w:val="20"/>
          <w:szCs w:val="20"/>
        </w:rPr>
        <w:t xml:space="preserve"> 1. </w:t>
      </w:r>
      <w:r w:rsidR="003930B9" w:rsidRPr="00C21972">
        <w:rPr>
          <w:rFonts w:ascii="Arial Rounded MT Bold" w:hAnsi="Arial Rounded MT Bold" w:cs="Arial"/>
          <w:sz w:val="20"/>
          <w:szCs w:val="20"/>
        </w:rPr>
        <w:t>g</w:t>
      </w:r>
      <w:r w:rsidRPr="00C21972">
        <w:rPr>
          <w:rFonts w:ascii="Arial Rounded MT Bold" w:hAnsi="Arial Rounded MT Bold" w:cs="Arial"/>
          <w:sz w:val="20"/>
          <w:szCs w:val="20"/>
        </w:rPr>
        <w:t>enannten Versicherungsbedingungen er</w:t>
      </w:r>
      <w:r w:rsidR="00A04B86" w:rsidRPr="00C21972">
        <w:rPr>
          <w:rFonts w:ascii="Arial Rounded MT Bold" w:hAnsi="Arial Rounded MT Bold" w:cs="Arial"/>
          <w:sz w:val="20"/>
          <w:szCs w:val="20"/>
        </w:rPr>
        <w:t>streckt sich der Versicherungsschutz auf den von dem Vermieter zur Verfügung gestellten und im Versicherungsvertrag näher bezeichneten Lagerraum und Lagerort</w:t>
      </w:r>
    </w:p>
    <w:p w14:paraId="15EC9EEB" w14:textId="77777777" w:rsidR="006262EE" w:rsidRPr="007270CE" w:rsidRDefault="006262EE" w:rsidP="00CA406F">
      <w:pPr>
        <w:pStyle w:val="Listenabsatz"/>
        <w:tabs>
          <w:tab w:val="left" w:pos="0"/>
          <w:tab w:val="left" w:pos="3402"/>
          <w:tab w:val="left" w:pos="7088"/>
          <w:tab w:val="left" w:pos="8080"/>
        </w:tabs>
        <w:spacing w:after="0" w:line="240" w:lineRule="auto"/>
        <w:rPr>
          <w:rFonts w:ascii="Arial Rounded MT Bold" w:hAnsi="Arial Rounded MT Bold" w:cs="Arial"/>
          <w:i/>
          <w:sz w:val="20"/>
          <w:szCs w:val="20"/>
        </w:rPr>
      </w:pPr>
    </w:p>
    <w:p w14:paraId="319964B5" w14:textId="77777777" w:rsidR="00A04B86" w:rsidRPr="007270CE" w:rsidRDefault="00A04B86" w:rsidP="00E2605F">
      <w:pPr>
        <w:pStyle w:val="Listenabsatz"/>
        <w:numPr>
          <w:ilvl w:val="0"/>
          <w:numId w:val="2"/>
        </w:numPr>
        <w:tabs>
          <w:tab w:val="left" w:pos="0"/>
          <w:tab w:val="left" w:pos="3402"/>
          <w:tab w:val="left" w:pos="7088"/>
          <w:tab w:val="left" w:pos="8080"/>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t>Versicherte Sachen</w:t>
      </w:r>
    </w:p>
    <w:p w14:paraId="64B93B3C" w14:textId="77777777" w:rsidR="00A04B86" w:rsidRPr="00C21972" w:rsidRDefault="00A04B86" w:rsidP="00E2605F">
      <w:pPr>
        <w:pStyle w:val="Listenabsatz"/>
        <w:tabs>
          <w:tab w:val="left" w:pos="0"/>
          <w:tab w:val="left" w:pos="3402"/>
          <w:tab w:val="left" w:pos="7088"/>
          <w:tab w:val="left" w:pos="8080"/>
        </w:tabs>
        <w:spacing w:after="0" w:line="240" w:lineRule="auto"/>
        <w:rPr>
          <w:rFonts w:ascii="Arial Rounded MT Bold" w:hAnsi="Arial Rounded MT Bold" w:cs="Arial"/>
          <w:b/>
          <w:sz w:val="20"/>
          <w:szCs w:val="20"/>
        </w:rPr>
      </w:pPr>
    </w:p>
    <w:p w14:paraId="31225194" w14:textId="77777777" w:rsidR="00A04B86" w:rsidRPr="00C21972" w:rsidRDefault="004A7684"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Abweichend von der Ziffer 1. </w:t>
      </w:r>
      <w:r w:rsidR="003930B9" w:rsidRPr="00C21972">
        <w:rPr>
          <w:rFonts w:ascii="Arial Rounded MT Bold" w:hAnsi="Arial Rounded MT Bold" w:cs="Arial"/>
          <w:sz w:val="20"/>
          <w:szCs w:val="20"/>
        </w:rPr>
        <w:t>g</w:t>
      </w:r>
      <w:r w:rsidRPr="00C21972">
        <w:rPr>
          <w:rFonts w:ascii="Arial Rounded MT Bold" w:hAnsi="Arial Rounded MT Bold" w:cs="Arial"/>
          <w:sz w:val="20"/>
          <w:szCs w:val="20"/>
        </w:rPr>
        <w:t>enannten Versicherungsbedingungen sind ausschließlich die vom Mieter während der Mietdauer eingelagerten beweglichen Sachen versichert.</w:t>
      </w:r>
    </w:p>
    <w:p w14:paraId="0CA05A02" w14:textId="77777777" w:rsidR="004A7684" w:rsidRPr="00C21972" w:rsidRDefault="004A7684"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p>
    <w:p w14:paraId="7EA9BDE3" w14:textId="77777777" w:rsidR="004A7684" w:rsidRPr="00C21972" w:rsidRDefault="004A7684"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Der Versicherungsschutz erstreckt sich nicht auf: </w:t>
      </w:r>
    </w:p>
    <w:p w14:paraId="50E6B263" w14:textId="77777777" w:rsidR="004A7684" w:rsidRPr="00C21972" w:rsidRDefault="004A7684"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p>
    <w:p w14:paraId="3D5662CC" w14:textId="77777777" w:rsidR="004A7684" w:rsidRPr="00C21972" w:rsidRDefault="004A7684"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Bargeld, Urkunden, einschließlich Sparbücher und sonstige Wertpapiere.</w:t>
      </w:r>
    </w:p>
    <w:p w14:paraId="3618F5FD" w14:textId="77777777" w:rsidR="004A7684" w:rsidRPr="00C21972" w:rsidRDefault="004A7684"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Schmucksachen, Edelstein, Perlen, Briefmarken, telefonkarten, Münzen, Medaillen, sowie alle Sachen aus Edelmetall.</w:t>
      </w:r>
    </w:p>
    <w:p w14:paraId="76A1C87E" w14:textId="77777777" w:rsidR="004A7684" w:rsidRPr="00C21972" w:rsidRDefault="004A7684"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Pelze sowie handgeknüpfte Teppiche, Gobelins und Kunstgegenstände.</w:t>
      </w:r>
    </w:p>
    <w:p w14:paraId="379584F5" w14:textId="77777777" w:rsidR="004A7684" w:rsidRPr="00C21972" w:rsidRDefault="004A7684"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Sowie Sachen, die über 100 Jahrealt sind, jeder mit Ausnahme</w:t>
      </w:r>
      <w:r w:rsidR="00D77A0F" w:rsidRPr="00C21972">
        <w:rPr>
          <w:rFonts w:ascii="Arial Rounded MT Bold" w:hAnsi="Arial Rounded MT Bold" w:cs="Arial"/>
          <w:sz w:val="20"/>
          <w:szCs w:val="20"/>
        </w:rPr>
        <w:t xml:space="preserve"> von Möbelstücken. </w:t>
      </w:r>
    </w:p>
    <w:p w14:paraId="7E1A7627" w14:textId="77777777" w:rsidR="00D77A0F" w:rsidRPr="00C21972" w:rsidRDefault="00D77A0F"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p>
    <w:p w14:paraId="5833BD7D" w14:textId="77777777" w:rsidR="007F75F2" w:rsidRPr="007270CE" w:rsidRDefault="007F75F2" w:rsidP="00E2605F">
      <w:pPr>
        <w:pStyle w:val="Listenabsatz"/>
        <w:numPr>
          <w:ilvl w:val="0"/>
          <w:numId w:val="2"/>
        </w:numPr>
        <w:tabs>
          <w:tab w:val="left" w:pos="0"/>
          <w:tab w:val="left" w:pos="3402"/>
          <w:tab w:val="left" w:pos="7088"/>
          <w:tab w:val="left" w:pos="8080"/>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t>Versicherungssumme</w:t>
      </w:r>
    </w:p>
    <w:p w14:paraId="53F9400C" w14:textId="77777777" w:rsidR="007F75F2" w:rsidRPr="00C21972" w:rsidRDefault="007F75F2" w:rsidP="00E2605F">
      <w:pPr>
        <w:pStyle w:val="Listenabsatz"/>
        <w:tabs>
          <w:tab w:val="left" w:pos="0"/>
          <w:tab w:val="left" w:pos="3402"/>
          <w:tab w:val="left" w:pos="7088"/>
          <w:tab w:val="left" w:pos="8080"/>
        </w:tabs>
        <w:spacing w:after="0" w:line="240" w:lineRule="auto"/>
        <w:rPr>
          <w:rFonts w:ascii="Arial Rounded MT Bold" w:hAnsi="Arial Rounded MT Bold" w:cs="Arial"/>
          <w:b/>
          <w:sz w:val="20"/>
          <w:szCs w:val="20"/>
        </w:rPr>
      </w:pPr>
    </w:p>
    <w:p w14:paraId="1C1AEBD2" w14:textId="77777777" w:rsidR="007F75F2" w:rsidRPr="00C21972" w:rsidRDefault="007F75F2"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Ich versichere mein Einlagerungsgut zu folgenden Konditionen (pro Monat).</w:t>
      </w:r>
    </w:p>
    <w:p w14:paraId="4FD59A80" w14:textId="77777777" w:rsidR="007F75F2" w:rsidRPr="00C21972" w:rsidRDefault="007F75F2"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Der Kunde bestimmt, dass das Einlagerungsgut höchstens den Wert hat, den er mit der Versicherung bestimmt. </w:t>
      </w:r>
    </w:p>
    <w:p w14:paraId="5094F7B7" w14:textId="77777777" w:rsidR="007F75F2" w:rsidRPr="00C21972" w:rsidRDefault="007F75F2" w:rsidP="00E2605F">
      <w:pPr>
        <w:pStyle w:val="Listenabsatz"/>
        <w:tabs>
          <w:tab w:val="left" w:pos="0"/>
          <w:tab w:val="left" w:pos="340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Der Versicherungsschutz verfällt, für den Monat, wo keine Zahlung geleistet wurde. </w:t>
      </w:r>
    </w:p>
    <w:tbl>
      <w:tblPr>
        <w:tblStyle w:val="Tabellenraster"/>
        <w:tblpPr w:leftFromText="141" w:rightFromText="141" w:vertAnchor="text" w:horzAnchor="margin" w:tblpY="408"/>
        <w:tblW w:w="9658" w:type="dxa"/>
        <w:tblLook w:val="04A0" w:firstRow="1" w:lastRow="0" w:firstColumn="1" w:lastColumn="0" w:noHBand="0" w:noVBand="1"/>
      </w:tblPr>
      <w:tblGrid>
        <w:gridCol w:w="1495"/>
        <w:gridCol w:w="2558"/>
        <w:gridCol w:w="1867"/>
        <w:gridCol w:w="1869"/>
        <w:gridCol w:w="1869"/>
      </w:tblGrid>
      <w:tr w:rsidR="006262EE" w:rsidRPr="00C21972" w14:paraId="1A01EFA2" w14:textId="77777777" w:rsidTr="00C21972">
        <w:trPr>
          <w:trHeight w:val="288"/>
        </w:trPr>
        <w:tc>
          <w:tcPr>
            <w:tcW w:w="1495" w:type="dxa"/>
          </w:tcPr>
          <w:p w14:paraId="7DF011CD"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Betrag pro Monat</w:t>
            </w:r>
          </w:p>
        </w:tc>
        <w:tc>
          <w:tcPr>
            <w:tcW w:w="2558" w:type="dxa"/>
          </w:tcPr>
          <w:p w14:paraId="7DE7DC01"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b/>
                <w:sz w:val="20"/>
                <w:szCs w:val="20"/>
              </w:rPr>
            </w:pPr>
            <w:r w:rsidRPr="00C21972">
              <w:rPr>
                <w:rFonts w:ascii="Arial Rounded MT Bold" w:hAnsi="Arial Rounded MT Bold" w:cs="Arial"/>
                <w:b/>
                <w:sz w:val="20"/>
                <w:szCs w:val="20"/>
              </w:rPr>
              <w:t>Versicherungssumme</w:t>
            </w:r>
          </w:p>
        </w:tc>
        <w:tc>
          <w:tcPr>
            <w:tcW w:w="1867" w:type="dxa"/>
          </w:tcPr>
          <w:p w14:paraId="42F0205A"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b/>
                <w:sz w:val="20"/>
                <w:szCs w:val="20"/>
              </w:rPr>
            </w:pPr>
            <w:r w:rsidRPr="00C21972">
              <w:rPr>
                <w:rFonts w:ascii="Arial Rounded MT Bold" w:hAnsi="Arial Rounded MT Bold" w:cs="Arial"/>
                <w:b/>
                <w:sz w:val="20"/>
                <w:szCs w:val="20"/>
              </w:rPr>
              <w:t>Boxnummer</w:t>
            </w:r>
          </w:p>
        </w:tc>
        <w:tc>
          <w:tcPr>
            <w:tcW w:w="1869" w:type="dxa"/>
          </w:tcPr>
          <w:p w14:paraId="1115FEA1"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b/>
                <w:sz w:val="20"/>
                <w:szCs w:val="20"/>
              </w:rPr>
            </w:pPr>
            <w:r w:rsidRPr="00C21972">
              <w:rPr>
                <w:rFonts w:ascii="Arial Rounded MT Bold" w:hAnsi="Arial Rounded MT Bold" w:cs="Arial"/>
                <w:b/>
                <w:sz w:val="20"/>
                <w:szCs w:val="20"/>
              </w:rPr>
              <w:t>Boxnummer</w:t>
            </w:r>
          </w:p>
        </w:tc>
        <w:tc>
          <w:tcPr>
            <w:tcW w:w="1869" w:type="dxa"/>
          </w:tcPr>
          <w:p w14:paraId="13D6297A"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b/>
                <w:sz w:val="20"/>
                <w:szCs w:val="20"/>
              </w:rPr>
            </w:pPr>
            <w:r w:rsidRPr="00C21972">
              <w:rPr>
                <w:rFonts w:ascii="Arial Rounded MT Bold" w:hAnsi="Arial Rounded MT Bold" w:cs="Arial"/>
                <w:b/>
                <w:sz w:val="20"/>
                <w:szCs w:val="20"/>
              </w:rPr>
              <w:t>Boxnummer</w:t>
            </w:r>
          </w:p>
        </w:tc>
      </w:tr>
      <w:tr w:rsidR="006262EE" w:rsidRPr="00C21972" w14:paraId="20CA0598" w14:textId="77777777" w:rsidTr="00C21972">
        <w:trPr>
          <w:trHeight w:val="288"/>
        </w:trPr>
        <w:tc>
          <w:tcPr>
            <w:tcW w:w="1495" w:type="dxa"/>
          </w:tcPr>
          <w:p w14:paraId="68465E6A" w14:textId="77777777" w:rsidR="006262EE" w:rsidRPr="00DF573B"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highlight w:val="yellow"/>
              </w:rPr>
            </w:pPr>
          </w:p>
          <w:p w14:paraId="6EA0F9B9" w14:textId="77777777" w:rsidR="006262EE" w:rsidRPr="00DF573B"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highlight w:val="yellow"/>
              </w:rPr>
            </w:pPr>
            <w:r w:rsidRPr="00DF573B">
              <w:rPr>
                <w:rFonts w:ascii="Arial Rounded MT Bold" w:hAnsi="Arial Rounded MT Bold" w:cs="Arial"/>
                <w:b/>
                <w:sz w:val="20"/>
                <w:szCs w:val="20"/>
                <w:highlight w:val="yellow"/>
              </w:rPr>
              <w:t>6,60€</w:t>
            </w:r>
          </w:p>
        </w:tc>
        <w:tc>
          <w:tcPr>
            <w:tcW w:w="2558" w:type="dxa"/>
          </w:tcPr>
          <w:p w14:paraId="309919A8" w14:textId="77777777" w:rsidR="006262EE" w:rsidRPr="00DF573B"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highlight w:val="yellow"/>
              </w:rPr>
            </w:pPr>
          </w:p>
          <w:p w14:paraId="7C7A07C9" w14:textId="77777777" w:rsidR="006262EE" w:rsidRPr="00DF573B"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highlight w:val="yellow"/>
              </w:rPr>
            </w:pPr>
            <w:r w:rsidRPr="00DF573B">
              <w:rPr>
                <w:rFonts w:ascii="Arial Rounded MT Bold" w:hAnsi="Arial Rounded MT Bold" w:cs="Arial"/>
                <w:b/>
                <w:sz w:val="20"/>
                <w:szCs w:val="20"/>
                <w:highlight w:val="yellow"/>
              </w:rPr>
              <w:t>1.000€</w:t>
            </w:r>
          </w:p>
        </w:tc>
        <w:tc>
          <w:tcPr>
            <w:tcW w:w="1867" w:type="dxa"/>
          </w:tcPr>
          <w:p w14:paraId="7089AE57" w14:textId="77777777" w:rsidR="006262EE" w:rsidRPr="00DF573B"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highlight w:val="yellow"/>
              </w:rPr>
            </w:pPr>
          </w:p>
        </w:tc>
        <w:tc>
          <w:tcPr>
            <w:tcW w:w="1869" w:type="dxa"/>
          </w:tcPr>
          <w:p w14:paraId="6CF2376A" w14:textId="77777777" w:rsidR="006262EE" w:rsidRPr="00DF573B"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highlight w:val="yellow"/>
              </w:rPr>
            </w:pPr>
          </w:p>
        </w:tc>
        <w:tc>
          <w:tcPr>
            <w:tcW w:w="1869" w:type="dxa"/>
          </w:tcPr>
          <w:p w14:paraId="2344C86F" w14:textId="77777777" w:rsidR="006262EE" w:rsidRPr="00DF573B"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highlight w:val="yellow"/>
              </w:rPr>
            </w:pPr>
          </w:p>
        </w:tc>
      </w:tr>
      <w:tr w:rsidR="006262EE" w:rsidRPr="00C21972" w14:paraId="665B6CC7" w14:textId="77777777" w:rsidTr="00C21972">
        <w:trPr>
          <w:trHeight w:val="288"/>
        </w:trPr>
        <w:tc>
          <w:tcPr>
            <w:tcW w:w="1495" w:type="dxa"/>
          </w:tcPr>
          <w:p w14:paraId="014565B3"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5E5B3075"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7,89€</w:t>
            </w:r>
          </w:p>
        </w:tc>
        <w:tc>
          <w:tcPr>
            <w:tcW w:w="2558" w:type="dxa"/>
          </w:tcPr>
          <w:p w14:paraId="6B5EEDB1"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33D187E7"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1.500€</w:t>
            </w:r>
          </w:p>
        </w:tc>
        <w:tc>
          <w:tcPr>
            <w:tcW w:w="1867" w:type="dxa"/>
          </w:tcPr>
          <w:p w14:paraId="08577247"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1DC7BA9A"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124E7140"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116A877C" w14:textId="77777777" w:rsidTr="00C21972">
        <w:trPr>
          <w:trHeight w:val="304"/>
        </w:trPr>
        <w:tc>
          <w:tcPr>
            <w:tcW w:w="1495" w:type="dxa"/>
          </w:tcPr>
          <w:p w14:paraId="5C6907E6"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4460FB30"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9,18€</w:t>
            </w:r>
          </w:p>
        </w:tc>
        <w:tc>
          <w:tcPr>
            <w:tcW w:w="2558" w:type="dxa"/>
          </w:tcPr>
          <w:p w14:paraId="57914B36"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7BFF2A3C"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2.000€</w:t>
            </w:r>
          </w:p>
        </w:tc>
        <w:tc>
          <w:tcPr>
            <w:tcW w:w="1867" w:type="dxa"/>
          </w:tcPr>
          <w:p w14:paraId="070434EA"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476EA4E3"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7AB874EC"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52031653" w14:textId="77777777" w:rsidTr="00C21972">
        <w:trPr>
          <w:trHeight w:val="288"/>
        </w:trPr>
        <w:tc>
          <w:tcPr>
            <w:tcW w:w="1495" w:type="dxa"/>
          </w:tcPr>
          <w:p w14:paraId="3EDC5C5D"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26D03E18"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10,46€</w:t>
            </w:r>
          </w:p>
        </w:tc>
        <w:tc>
          <w:tcPr>
            <w:tcW w:w="2558" w:type="dxa"/>
          </w:tcPr>
          <w:p w14:paraId="1DEADE2F"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565A8525"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2.500€</w:t>
            </w:r>
          </w:p>
        </w:tc>
        <w:tc>
          <w:tcPr>
            <w:tcW w:w="1867" w:type="dxa"/>
          </w:tcPr>
          <w:p w14:paraId="69B2AEA3"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06E28706"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3B62A28F"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3A808749" w14:textId="77777777" w:rsidTr="00C21972">
        <w:trPr>
          <w:trHeight w:val="288"/>
        </w:trPr>
        <w:tc>
          <w:tcPr>
            <w:tcW w:w="1495" w:type="dxa"/>
          </w:tcPr>
          <w:p w14:paraId="5B7C47D7"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49DCED34"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11,75€</w:t>
            </w:r>
          </w:p>
        </w:tc>
        <w:tc>
          <w:tcPr>
            <w:tcW w:w="2558" w:type="dxa"/>
          </w:tcPr>
          <w:p w14:paraId="3B84C586"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6F9A7327"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3.000€</w:t>
            </w:r>
          </w:p>
        </w:tc>
        <w:tc>
          <w:tcPr>
            <w:tcW w:w="1867" w:type="dxa"/>
          </w:tcPr>
          <w:p w14:paraId="13409854"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30209D6B"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6E43CF9C"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1D722901" w14:textId="77777777" w:rsidTr="00C21972">
        <w:trPr>
          <w:trHeight w:val="304"/>
        </w:trPr>
        <w:tc>
          <w:tcPr>
            <w:tcW w:w="1495" w:type="dxa"/>
          </w:tcPr>
          <w:p w14:paraId="6FD2DFD9"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07E269FE"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13,03€</w:t>
            </w:r>
          </w:p>
        </w:tc>
        <w:tc>
          <w:tcPr>
            <w:tcW w:w="2558" w:type="dxa"/>
          </w:tcPr>
          <w:p w14:paraId="1408E6F4"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3490E287"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3.500€</w:t>
            </w:r>
          </w:p>
        </w:tc>
        <w:tc>
          <w:tcPr>
            <w:tcW w:w="1867" w:type="dxa"/>
          </w:tcPr>
          <w:p w14:paraId="354F1E40"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3748427C"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6A2B6297"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4511DBFD" w14:textId="77777777" w:rsidTr="00C21972">
        <w:trPr>
          <w:trHeight w:val="288"/>
        </w:trPr>
        <w:tc>
          <w:tcPr>
            <w:tcW w:w="1495" w:type="dxa"/>
          </w:tcPr>
          <w:p w14:paraId="3F9BBF4A"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55064F00"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14,32€</w:t>
            </w:r>
          </w:p>
        </w:tc>
        <w:tc>
          <w:tcPr>
            <w:tcW w:w="2558" w:type="dxa"/>
          </w:tcPr>
          <w:p w14:paraId="6E119A06"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344ECF04"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4.000€</w:t>
            </w:r>
          </w:p>
        </w:tc>
        <w:tc>
          <w:tcPr>
            <w:tcW w:w="1867" w:type="dxa"/>
          </w:tcPr>
          <w:p w14:paraId="4E68A997"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203ED73B"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25D3AFF4"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06C8B727" w14:textId="77777777" w:rsidTr="00C21972">
        <w:trPr>
          <w:trHeight w:val="288"/>
        </w:trPr>
        <w:tc>
          <w:tcPr>
            <w:tcW w:w="1495" w:type="dxa"/>
          </w:tcPr>
          <w:p w14:paraId="5931432A"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51EA7C52"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15,60€</w:t>
            </w:r>
          </w:p>
        </w:tc>
        <w:tc>
          <w:tcPr>
            <w:tcW w:w="2558" w:type="dxa"/>
          </w:tcPr>
          <w:p w14:paraId="2BB03C5E"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2308AF2D"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4.500€</w:t>
            </w:r>
          </w:p>
        </w:tc>
        <w:tc>
          <w:tcPr>
            <w:tcW w:w="1867" w:type="dxa"/>
          </w:tcPr>
          <w:p w14:paraId="1F3520B3"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54343437"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71C3FCDE"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7FE5E89C" w14:textId="77777777" w:rsidTr="00C21972">
        <w:trPr>
          <w:trHeight w:val="304"/>
        </w:trPr>
        <w:tc>
          <w:tcPr>
            <w:tcW w:w="1495" w:type="dxa"/>
          </w:tcPr>
          <w:p w14:paraId="5D271939"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3FFF998A"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16,89€</w:t>
            </w:r>
          </w:p>
        </w:tc>
        <w:tc>
          <w:tcPr>
            <w:tcW w:w="2558" w:type="dxa"/>
          </w:tcPr>
          <w:p w14:paraId="4BB22A4F"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0D0DF71D"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5.000€</w:t>
            </w:r>
          </w:p>
        </w:tc>
        <w:tc>
          <w:tcPr>
            <w:tcW w:w="1867" w:type="dxa"/>
          </w:tcPr>
          <w:p w14:paraId="6BCDC1EA"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4F95188E"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25DBE4D1"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27955F51" w14:textId="77777777" w:rsidTr="00C21972">
        <w:trPr>
          <w:trHeight w:val="288"/>
        </w:trPr>
        <w:tc>
          <w:tcPr>
            <w:tcW w:w="1495" w:type="dxa"/>
          </w:tcPr>
          <w:p w14:paraId="32199BD6"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1B7C41A1"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18,60€</w:t>
            </w:r>
          </w:p>
        </w:tc>
        <w:tc>
          <w:tcPr>
            <w:tcW w:w="2558" w:type="dxa"/>
          </w:tcPr>
          <w:p w14:paraId="08EE6BA6"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3DA46E96"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5.500€</w:t>
            </w:r>
          </w:p>
        </w:tc>
        <w:tc>
          <w:tcPr>
            <w:tcW w:w="1867" w:type="dxa"/>
          </w:tcPr>
          <w:p w14:paraId="68333B91"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10812A08"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46362E27"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3F5CBD22" w14:textId="77777777" w:rsidTr="00C21972">
        <w:trPr>
          <w:trHeight w:val="288"/>
        </w:trPr>
        <w:tc>
          <w:tcPr>
            <w:tcW w:w="1495" w:type="dxa"/>
          </w:tcPr>
          <w:p w14:paraId="28767567"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6382B520"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19,89€</w:t>
            </w:r>
          </w:p>
        </w:tc>
        <w:tc>
          <w:tcPr>
            <w:tcW w:w="2558" w:type="dxa"/>
          </w:tcPr>
          <w:p w14:paraId="286B7C1F"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3E856F87"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6.000€</w:t>
            </w:r>
          </w:p>
        </w:tc>
        <w:tc>
          <w:tcPr>
            <w:tcW w:w="1867" w:type="dxa"/>
          </w:tcPr>
          <w:p w14:paraId="201465B6"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498EBE86"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042FF87E"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09C55017" w14:textId="77777777" w:rsidTr="00C21972">
        <w:trPr>
          <w:trHeight w:val="304"/>
        </w:trPr>
        <w:tc>
          <w:tcPr>
            <w:tcW w:w="1495" w:type="dxa"/>
          </w:tcPr>
          <w:p w14:paraId="63D0A681"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569084F2"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21,18€</w:t>
            </w:r>
          </w:p>
        </w:tc>
        <w:tc>
          <w:tcPr>
            <w:tcW w:w="2558" w:type="dxa"/>
          </w:tcPr>
          <w:p w14:paraId="014908D7"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69E4DA2C"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6.500€</w:t>
            </w:r>
          </w:p>
        </w:tc>
        <w:tc>
          <w:tcPr>
            <w:tcW w:w="1867" w:type="dxa"/>
          </w:tcPr>
          <w:p w14:paraId="0B92C16D"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18131FB5"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30B42391"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26A9E9EC" w14:textId="77777777" w:rsidTr="00C21972">
        <w:trPr>
          <w:trHeight w:val="288"/>
        </w:trPr>
        <w:tc>
          <w:tcPr>
            <w:tcW w:w="1495" w:type="dxa"/>
          </w:tcPr>
          <w:p w14:paraId="719E30BC"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5CC086D8"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22,46€</w:t>
            </w:r>
          </w:p>
        </w:tc>
        <w:tc>
          <w:tcPr>
            <w:tcW w:w="2558" w:type="dxa"/>
          </w:tcPr>
          <w:p w14:paraId="6101F1B2"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22A222B7"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7.000€</w:t>
            </w:r>
          </w:p>
        </w:tc>
        <w:tc>
          <w:tcPr>
            <w:tcW w:w="1867" w:type="dxa"/>
          </w:tcPr>
          <w:p w14:paraId="411A9348"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339111F7"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5F6AFE48"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r w:rsidR="006262EE" w:rsidRPr="00C21972" w14:paraId="3EA02FFF" w14:textId="77777777" w:rsidTr="00C21972">
        <w:trPr>
          <w:trHeight w:val="551"/>
        </w:trPr>
        <w:tc>
          <w:tcPr>
            <w:tcW w:w="1495" w:type="dxa"/>
          </w:tcPr>
          <w:p w14:paraId="5F7FCD70"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44F91F33"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23,75€</w:t>
            </w:r>
          </w:p>
        </w:tc>
        <w:tc>
          <w:tcPr>
            <w:tcW w:w="2558" w:type="dxa"/>
          </w:tcPr>
          <w:p w14:paraId="242EB561"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p>
          <w:p w14:paraId="2EF11984" w14:textId="77777777" w:rsidR="006262EE" w:rsidRPr="00C21972" w:rsidRDefault="006262EE" w:rsidP="00C21972">
            <w:pPr>
              <w:pStyle w:val="Listenabsatz"/>
              <w:tabs>
                <w:tab w:val="left" w:pos="0"/>
                <w:tab w:val="left" w:pos="3402"/>
                <w:tab w:val="left" w:pos="7088"/>
                <w:tab w:val="left" w:pos="8080"/>
              </w:tabs>
              <w:ind w:left="0"/>
              <w:jc w:val="center"/>
              <w:rPr>
                <w:rFonts w:ascii="Arial Rounded MT Bold" w:hAnsi="Arial Rounded MT Bold" w:cs="Arial"/>
                <w:b/>
                <w:sz w:val="20"/>
                <w:szCs w:val="20"/>
              </w:rPr>
            </w:pPr>
            <w:r w:rsidRPr="00C21972">
              <w:rPr>
                <w:rFonts w:ascii="Arial Rounded MT Bold" w:hAnsi="Arial Rounded MT Bold" w:cs="Arial"/>
                <w:b/>
                <w:sz w:val="20"/>
                <w:szCs w:val="20"/>
              </w:rPr>
              <w:t>7.500€</w:t>
            </w:r>
          </w:p>
        </w:tc>
        <w:tc>
          <w:tcPr>
            <w:tcW w:w="1867" w:type="dxa"/>
          </w:tcPr>
          <w:p w14:paraId="726C972B"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4AF051FE"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c>
          <w:tcPr>
            <w:tcW w:w="1869" w:type="dxa"/>
          </w:tcPr>
          <w:p w14:paraId="00866368" w14:textId="77777777" w:rsidR="006262EE" w:rsidRPr="00C21972" w:rsidRDefault="006262EE" w:rsidP="00C21972">
            <w:pPr>
              <w:pStyle w:val="Listenabsatz"/>
              <w:tabs>
                <w:tab w:val="left" w:pos="0"/>
                <w:tab w:val="left" w:pos="3402"/>
                <w:tab w:val="left" w:pos="7088"/>
                <w:tab w:val="left" w:pos="8080"/>
              </w:tabs>
              <w:ind w:left="0"/>
              <w:rPr>
                <w:rFonts w:ascii="Arial Rounded MT Bold" w:hAnsi="Arial Rounded MT Bold" w:cs="Arial"/>
                <w:sz w:val="20"/>
                <w:szCs w:val="20"/>
              </w:rPr>
            </w:pPr>
          </w:p>
        </w:tc>
      </w:tr>
    </w:tbl>
    <w:p w14:paraId="225E31B7" w14:textId="186BEEED" w:rsidR="00C21972" w:rsidRDefault="00FA62F4" w:rsidP="00FA62F4">
      <w:pPr>
        <w:tabs>
          <w:tab w:val="left" w:pos="0"/>
          <w:tab w:val="left" w:pos="3402"/>
          <w:tab w:val="left" w:pos="7088"/>
          <w:tab w:val="left" w:pos="8080"/>
        </w:tabs>
        <w:spacing w:after="0" w:line="240" w:lineRule="auto"/>
        <w:rPr>
          <w:rFonts w:ascii="Arial Rounded MT Bold" w:hAnsi="Arial Rounded MT Bold" w:cs="Arial"/>
          <w:b/>
          <w:sz w:val="24"/>
          <w:szCs w:val="24"/>
        </w:rPr>
      </w:pPr>
      <w:r w:rsidRPr="00C21972">
        <w:rPr>
          <w:rFonts w:ascii="Arial Rounded MT Bold" w:hAnsi="Arial Rounded MT Bold" w:cs="Arial"/>
          <w:b/>
          <w:sz w:val="24"/>
          <w:szCs w:val="24"/>
        </w:rPr>
        <w:t xml:space="preserve">                </w:t>
      </w:r>
    </w:p>
    <w:p w14:paraId="7FB9B031" w14:textId="77777777" w:rsidR="00F3283B" w:rsidRPr="00A35A6F" w:rsidRDefault="00F3283B" w:rsidP="00FA62F4">
      <w:pPr>
        <w:tabs>
          <w:tab w:val="left" w:pos="0"/>
          <w:tab w:val="left" w:pos="3402"/>
          <w:tab w:val="left" w:pos="7088"/>
          <w:tab w:val="left" w:pos="8080"/>
        </w:tabs>
        <w:spacing w:after="0" w:line="240" w:lineRule="auto"/>
        <w:rPr>
          <w:rFonts w:ascii="Arial Rounded MT Bold" w:hAnsi="Arial Rounded MT Bold" w:cs="Arial"/>
          <w:bCs/>
          <w:sz w:val="20"/>
          <w:szCs w:val="20"/>
        </w:rPr>
      </w:pPr>
    </w:p>
    <w:p w14:paraId="2F3ED486" w14:textId="78A77680" w:rsidR="00F3283B" w:rsidRPr="00A35A6F" w:rsidRDefault="00A35A6F" w:rsidP="00FA62F4">
      <w:pPr>
        <w:tabs>
          <w:tab w:val="left" w:pos="0"/>
          <w:tab w:val="left" w:pos="3402"/>
          <w:tab w:val="left" w:pos="7088"/>
          <w:tab w:val="left" w:pos="8080"/>
        </w:tabs>
        <w:spacing w:after="0" w:line="240" w:lineRule="auto"/>
        <w:rPr>
          <w:rFonts w:ascii="Arial Rounded MT Bold" w:hAnsi="Arial Rounded MT Bold" w:cs="Arial"/>
          <w:bCs/>
          <w:sz w:val="20"/>
          <w:szCs w:val="20"/>
        </w:rPr>
      </w:pPr>
      <w:r w:rsidRPr="00DF573B">
        <w:rPr>
          <w:rFonts w:ascii="Arial Rounded MT Bold" w:hAnsi="Arial Rounded MT Bold" w:cs="Arial"/>
          <w:bCs/>
          <w:sz w:val="20"/>
          <w:szCs w:val="20"/>
          <w:highlight w:val="yellow"/>
        </w:rPr>
        <w:t>Falls der Vertrag die Versicherungssumme nicht erhöht worden ist gilt Automatisch die Grundversicherung.</w:t>
      </w:r>
    </w:p>
    <w:p w14:paraId="4B7A0C67" w14:textId="77777777" w:rsidR="00A35A6F" w:rsidRDefault="00A35A6F" w:rsidP="00FA62F4">
      <w:pPr>
        <w:tabs>
          <w:tab w:val="left" w:pos="0"/>
          <w:tab w:val="left" w:pos="3402"/>
          <w:tab w:val="left" w:pos="7088"/>
          <w:tab w:val="left" w:pos="8080"/>
        </w:tabs>
        <w:spacing w:after="0" w:line="240" w:lineRule="auto"/>
        <w:rPr>
          <w:rFonts w:ascii="Arial Rounded MT Bold" w:hAnsi="Arial Rounded MT Bold" w:cs="Arial"/>
          <w:b/>
          <w:sz w:val="24"/>
          <w:szCs w:val="24"/>
        </w:rPr>
      </w:pPr>
    </w:p>
    <w:p w14:paraId="12A603E3" w14:textId="77777777" w:rsidR="007F75F2" w:rsidRPr="007270CE" w:rsidRDefault="00C21972" w:rsidP="00FA62F4">
      <w:pPr>
        <w:tabs>
          <w:tab w:val="left" w:pos="0"/>
          <w:tab w:val="left" w:pos="3402"/>
          <w:tab w:val="left" w:pos="7088"/>
          <w:tab w:val="left" w:pos="8080"/>
        </w:tabs>
        <w:spacing w:after="0" w:line="240" w:lineRule="auto"/>
        <w:rPr>
          <w:rFonts w:ascii="Arial Rounded MT Bold" w:hAnsi="Arial Rounded MT Bold" w:cs="Arial"/>
          <w:b/>
          <w:i/>
          <w:sz w:val="24"/>
          <w:szCs w:val="24"/>
        </w:rPr>
      </w:pPr>
      <w:r>
        <w:rPr>
          <w:rFonts w:ascii="Arial Rounded MT Bold" w:hAnsi="Arial Rounded MT Bold" w:cs="Arial"/>
          <w:b/>
          <w:sz w:val="24"/>
          <w:szCs w:val="24"/>
        </w:rPr>
        <w:t xml:space="preserve">           </w:t>
      </w:r>
      <w:r w:rsidR="00FB0A90" w:rsidRPr="007270CE">
        <w:rPr>
          <w:rFonts w:ascii="Arial Rounded MT Bold" w:hAnsi="Arial Rounded MT Bold" w:cs="Arial"/>
          <w:b/>
          <w:i/>
          <w:sz w:val="24"/>
          <w:szCs w:val="24"/>
        </w:rPr>
        <w:t>Sondervereinbarung:</w:t>
      </w:r>
    </w:p>
    <w:p w14:paraId="05EFDD1B" w14:textId="77777777" w:rsidR="00C21972" w:rsidRPr="00C21972" w:rsidRDefault="00C21972" w:rsidP="00C21972">
      <w:pPr>
        <w:tabs>
          <w:tab w:val="left" w:pos="0"/>
          <w:tab w:val="left" w:pos="3402"/>
          <w:tab w:val="left" w:pos="7088"/>
          <w:tab w:val="left" w:pos="8080"/>
        </w:tabs>
        <w:spacing w:after="0" w:line="240" w:lineRule="auto"/>
        <w:rPr>
          <w:rFonts w:ascii="Arial Rounded MT Bold" w:hAnsi="Arial Rounded MT Bold" w:cs="Arial"/>
          <w:sz w:val="20"/>
          <w:szCs w:val="20"/>
        </w:rPr>
      </w:pPr>
    </w:p>
    <w:p w14:paraId="5E020CC7" w14:textId="77777777" w:rsidR="00FB0A90" w:rsidRPr="00C21972" w:rsidRDefault="00FB0A90"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u w:val="single"/>
        </w:rPr>
      </w:pPr>
      <w:r w:rsidRPr="00C21972">
        <w:rPr>
          <w:rFonts w:ascii="Arial Rounded MT Bold" w:hAnsi="Arial Rounded MT Bold" w:cs="Arial"/>
          <w:sz w:val="20"/>
          <w:szCs w:val="20"/>
        </w:rPr>
        <w:t xml:space="preserve">Höherer Versicherung Betrag: </w:t>
      </w:r>
      <w:r w:rsidRPr="00C21972">
        <w:rPr>
          <w:rFonts w:ascii="Arial Rounded MT Bold" w:hAnsi="Arial Rounded MT Bold" w:cs="Arial"/>
          <w:sz w:val="20"/>
          <w:szCs w:val="20"/>
          <w:u w:val="single"/>
        </w:rPr>
        <w:tab/>
      </w:r>
      <w:r w:rsidRPr="00C21972">
        <w:rPr>
          <w:rFonts w:ascii="Arial Rounded MT Bold" w:hAnsi="Arial Rounded MT Bold" w:cs="Arial"/>
          <w:sz w:val="20"/>
          <w:szCs w:val="20"/>
        </w:rPr>
        <w:t xml:space="preserve">   Preis:</w:t>
      </w:r>
      <w:r w:rsidRPr="00C21972">
        <w:rPr>
          <w:rFonts w:ascii="Arial Rounded MT Bold" w:hAnsi="Arial Rounded MT Bold" w:cs="Arial"/>
          <w:sz w:val="20"/>
          <w:szCs w:val="20"/>
          <w:u w:val="single"/>
        </w:rPr>
        <w:tab/>
      </w:r>
    </w:p>
    <w:p w14:paraId="0FB1226F" w14:textId="77777777" w:rsidR="00AA6B45" w:rsidRPr="00C21972" w:rsidRDefault="00AA6B45"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u w:val="single"/>
        </w:rPr>
      </w:pPr>
    </w:p>
    <w:p w14:paraId="1982C4A2" w14:textId="77777777" w:rsidR="00AA6B45" w:rsidRPr="00C21972" w:rsidRDefault="00AA6B45"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48BE3931" w14:textId="77777777" w:rsidR="00AA6B45" w:rsidRPr="00C21972" w:rsidRDefault="00AA6B45"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Abweichend von den in Ziffer 1. Genannten Versicherungsbedingungen wird auf die Anrechnung einer Unterversicherung verzichtet. </w:t>
      </w:r>
    </w:p>
    <w:p w14:paraId="44A4EB6F" w14:textId="77777777" w:rsidR="00AA6B45" w:rsidRPr="00C21972" w:rsidRDefault="00AA6B45"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05E8EAFA" w14:textId="77777777" w:rsidR="00AA6B45" w:rsidRPr="00C21972" w:rsidRDefault="00AA6B45"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538B30A4" w14:textId="77777777" w:rsidR="00AA6B45" w:rsidRPr="007270CE" w:rsidRDefault="00AA6B45" w:rsidP="00E2605F">
      <w:pPr>
        <w:pStyle w:val="Listenabsatz"/>
        <w:numPr>
          <w:ilvl w:val="0"/>
          <w:numId w:val="2"/>
        </w:numPr>
        <w:tabs>
          <w:tab w:val="left" w:pos="0"/>
          <w:tab w:val="left" w:pos="3402"/>
          <w:tab w:val="left" w:pos="4962"/>
          <w:tab w:val="left" w:pos="7088"/>
          <w:tab w:val="left" w:pos="8080"/>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lastRenderedPageBreak/>
        <w:t>Versicherte Kosten je nach Auswahl Ziffer 1.</w:t>
      </w:r>
    </w:p>
    <w:p w14:paraId="1DD5E9C8" w14:textId="77777777" w:rsidR="008411F3" w:rsidRPr="00C21972" w:rsidRDefault="008411F3"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32766E35" w14:textId="77777777" w:rsidR="008411F3" w:rsidRPr="00C21972" w:rsidRDefault="007700C7"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Die im Folgenden aufgeführten Kosten gelten beitragsfreu mitversichert:</w:t>
      </w:r>
    </w:p>
    <w:p w14:paraId="046EA4D9" w14:textId="77777777" w:rsidR="007700C7" w:rsidRPr="00C21972" w:rsidRDefault="007700C7"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In der Feuer-, Eibruchdiebstahl-, Leitungswasser- und Sturmversicherung sind auf Erstes Risiko versichert (berechnet aus der Versicherungssumme): </w:t>
      </w:r>
    </w:p>
    <w:p w14:paraId="23B6D826" w14:textId="77777777" w:rsidR="007700C7" w:rsidRPr="00C21972" w:rsidRDefault="007700C7"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388EEFF0" w14:textId="77777777" w:rsidR="007700C7" w:rsidRPr="00C21972" w:rsidRDefault="007700C7" w:rsidP="00E2605F">
      <w:pPr>
        <w:pStyle w:val="Listenabsatz"/>
        <w:numPr>
          <w:ilvl w:val="0"/>
          <w:numId w:val="4"/>
        </w:num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Muster, Anschauungsmodelle, Prototypen, und Ausstellungsstücke, ferner typengebundene, für die laufende Produktion nicht mehr benötigte Fertigungsvorrichtungen (Zeitwert)</w:t>
      </w:r>
    </w:p>
    <w:p w14:paraId="5E97A4A0" w14:textId="77777777" w:rsidR="007700C7" w:rsidRPr="00C21972" w:rsidRDefault="007700C7"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7A93712D" w14:textId="77777777" w:rsidR="007700C7" w:rsidRPr="00C21972" w:rsidRDefault="007700C7" w:rsidP="00E2605F">
      <w:pPr>
        <w:pStyle w:val="Listenabsatz"/>
        <w:numPr>
          <w:ilvl w:val="0"/>
          <w:numId w:val="4"/>
        </w:num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 Aufräumungs-, Bewegungs- und Schutzkosten, ferner in der Feuer-, Leitungswasser- und Sturmversicherung Abbruchkosten, in der Feuerversicherung auch Feuerlöschkosten</w:t>
      </w:r>
    </w:p>
    <w:p w14:paraId="0569D080" w14:textId="77777777" w:rsidR="007700C7" w:rsidRPr="00C21972" w:rsidRDefault="007700C7" w:rsidP="00E2605F">
      <w:pPr>
        <w:pStyle w:val="Listenabsatz"/>
        <w:spacing w:after="0" w:line="240" w:lineRule="auto"/>
        <w:rPr>
          <w:rFonts w:ascii="Arial Rounded MT Bold" w:hAnsi="Arial Rounded MT Bold" w:cs="Arial"/>
          <w:sz w:val="20"/>
          <w:szCs w:val="20"/>
        </w:rPr>
      </w:pPr>
    </w:p>
    <w:p w14:paraId="4770696F" w14:textId="77777777" w:rsidR="007700C7" w:rsidRPr="00C21972" w:rsidRDefault="007700C7" w:rsidP="00E2605F">
      <w:pPr>
        <w:pStyle w:val="Listenabsatz"/>
        <w:tabs>
          <w:tab w:val="left" w:pos="0"/>
          <w:tab w:val="left" w:pos="3402"/>
          <w:tab w:val="left" w:pos="4962"/>
          <w:tab w:val="left" w:pos="7088"/>
          <w:tab w:val="left" w:pos="8080"/>
        </w:tabs>
        <w:spacing w:after="0" w:line="240" w:lineRule="auto"/>
        <w:ind w:left="1080"/>
        <w:rPr>
          <w:rFonts w:ascii="Arial Rounded MT Bold" w:hAnsi="Arial Rounded MT Bold" w:cs="Arial"/>
          <w:sz w:val="20"/>
          <w:szCs w:val="20"/>
        </w:rPr>
      </w:pPr>
    </w:p>
    <w:p w14:paraId="3E89A43C" w14:textId="77777777" w:rsidR="007700C7" w:rsidRPr="00C21972" w:rsidRDefault="007700C7" w:rsidP="00E2605F">
      <w:pPr>
        <w:pStyle w:val="Listenabsatz"/>
        <w:numPr>
          <w:ilvl w:val="0"/>
          <w:numId w:val="4"/>
        </w:num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Aufräumungs-, Abfuhr- und Isolierkosten für radioaktiv verseuchte Sachen</w:t>
      </w:r>
    </w:p>
    <w:p w14:paraId="416E74A1" w14:textId="77777777" w:rsidR="00DB5B17" w:rsidRPr="00C21972" w:rsidRDefault="00DB5B17"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457D0E5E" w14:textId="77777777" w:rsidR="00DB5B17" w:rsidRPr="00C21972" w:rsidRDefault="008872E6" w:rsidP="00E2605F">
      <w:pPr>
        <w:pStyle w:val="Listenabsatz"/>
        <w:numPr>
          <w:ilvl w:val="0"/>
          <w:numId w:val="4"/>
        </w:num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Mehrkosten durch Preissteigerungen zwischen dem Eintritt des Versicherungsfalles und der Wiederherstellung oder Wiederbeschaffung (Preisdifferen</w:t>
      </w:r>
      <w:r w:rsidR="00F36C1A" w:rsidRPr="00C21972">
        <w:rPr>
          <w:rFonts w:ascii="Arial Rounded MT Bold" w:hAnsi="Arial Rounded MT Bold" w:cs="Arial"/>
          <w:sz w:val="20"/>
          <w:szCs w:val="20"/>
        </w:rPr>
        <w:t xml:space="preserve">zversicherung). Mehrkosten infolge behördlicher Wiederherstellungsbeschränkungen </w:t>
      </w:r>
    </w:p>
    <w:p w14:paraId="699D09BB" w14:textId="77777777" w:rsidR="00F36C1A" w:rsidRPr="00C21972" w:rsidRDefault="00F36C1A" w:rsidP="00E2605F">
      <w:pPr>
        <w:pStyle w:val="Listenabsatz"/>
        <w:spacing w:after="0" w:line="240" w:lineRule="auto"/>
        <w:rPr>
          <w:rFonts w:ascii="Arial Rounded MT Bold" w:hAnsi="Arial Rounded MT Bold" w:cs="Arial"/>
          <w:sz w:val="20"/>
          <w:szCs w:val="20"/>
        </w:rPr>
      </w:pPr>
    </w:p>
    <w:p w14:paraId="488B461E" w14:textId="77777777" w:rsidR="00F36C1A" w:rsidRPr="00C21972" w:rsidRDefault="00F36C1A" w:rsidP="00E2605F">
      <w:pPr>
        <w:pStyle w:val="Listenabsatz"/>
        <w:numPr>
          <w:ilvl w:val="0"/>
          <w:numId w:val="4"/>
        </w:num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Mehrkosten durch technologiefortschritt</w:t>
      </w:r>
    </w:p>
    <w:p w14:paraId="220DB80E" w14:textId="77777777" w:rsidR="00F36C1A" w:rsidRPr="00C21972" w:rsidRDefault="00F36C1A" w:rsidP="00E2605F">
      <w:pPr>
        <w:pStyle w:val="Listenabsatz"/>
        <w:spacing w:after="0" w:line="240" w:lineRule="auto"/>
        <w:rPr>
          <w:rFonts w:ascii="Arial Rounded MT Bold" w:hAnsi="Arial Rounded MT Bold" w:cs="Arial"/>
          <w:sz w:val="20"/>
          <w:szCs w:val="20"/>
        </w:rPr>
      </w:pPr>
    </w:p>
    <w:p w14:paraId="035AABAF" w14:textId="77777777" w:rsidR="00F36C1A" w:rsidRPr="00C21972" w:rsidRDefault="00F36C1A" w:rsidP="00E2605F">
      <w:pPr>
        <w:pStyle w:val="Listenabsatz"/>
        <w:numPr>
          <w:ilvl w:val="0"/>
          <w:numId w:val="4"/>
        </w:num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Sachverständigenkoste, sofern der Schaden 15.000€ übersteigt</w:t>
      </w:r>
    </w:p>
    <w:p w14:paraId="48790DB3" w14:textId="77777777" w:rsidR="00F36C1A" w:rsidRPr="00C21972" w:rsidRDefault="00F36C1A" w:rsidP="00E2605F">
      <w:pPr>
        <w:pStyle w:val="Listenabsatz"/>
        <w:spacing w:after="0" w:line="240" w:lineRule="auto"/>
        <w:rPr>
          <w:rFonts w:ascii="Arial Rounded MT Bold" w:hAnsi="Arial Rounded MT Bold" w:cs="Arial"/>
          <w:sz w:val="20"/>
          <w:szCs w:val="20"/>
        </w:rPr>
      </w:pPr>
    </w:p>
    <w:p w14:paraId="670F5D8C" w14:textId="77777777" w:rsidR="00F36C1A" w:rsidRPr="00C21972" w:rsidRDefault="00F36C1A" w:rsidP="00E2605F">
      <w:pPr>
        <w:pStyle w:val="Listenabsatz"/>
        <w:numPr>
          <w:ilvl w:val="0"/>
          <w:numId w:val="4"/>
        </w:num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Kosten für die Wiederherstellung von Akten, Plänen, Geschäftsbücher, Karteien und Zeichnungen</w:t>
      </w:r>
    </w:p>
    <w:p w14:paraId="5384B5AD" w14:textId="77777777" w:rsidR="00F36C1A" w:rsidRPr="00C21972" w:rsidRDefault="00F36C1A" w:rsidP="00E2605F">
      <w:pPr>
        <w:pStyle w:val="Listenabsatz"/>
        <w:spacing w:after="0" w:line="240" w:lineRule="auto"/>
        <w:rPr>
          <w:rFonts w:ascii="Arial Rounded MT Bold" w:hAnsi="Arial Rounded MT Bold" w:cs="Arial"/>
          <w:sz w:val="20"/>
          <w:szCs w:val="20"/>
        </w:rPr>
      </w:pPr>
    </w:p>
    <w:p w14:paraId="253A8451" w14:textId="77777777" w:rsidR="00F36C1A" w:rsidRPr="00C21972" w:rsidRDefault="00F36C1A" w:rsidP="00E2605F">
      <w:pPr>
        <w:pStyle w:val="Listenabsatz"/>
        <w:numPr>
          <w:ilvl w:val="0"/>
          <w:numId w:val="4"/>
        </w:num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Kosten für die Dekontamination von Erdreich; Selbstbehalt: 15% je Schaden</w:t>
      </w:r>
    </w:p>
    <w:p w14:paraId="50F2E26E" w14:textId="77777777" w:rsidR="00F36C1A" w:rsidRPr="00C21972" w:rsidRDefault="00F36C1A" w:rsidP="00E2605F">
      <w:pPr>
        <w:pStyle w:val="Listenabsatz"/>
        <w:spacing w:after="0" w:line="240" w:lineRule="auto"/>
        <w:rPr>
          <w:rFonts w:ascii="Arial Rounded MT Bold" w:hAnsi="Arial Rounded MT Bold" w:cs="Arial"/>
          <w:sz w:val="20"/>
          <w:szCs w:val="20"/>
        </w:rPr>
      </w:pPr>
    </w:p>
    <w:p w14:paraId="10E568FC" w14:textId="77777777" w:rsidR="00F36C1A" w:rsidRPr="00C21972" w:rsidRDefault="00F36C1A" w:rsidP="00E2605F">
      <w:pPr>
        <w:pStyle w:val="Listenabsatz"/>
        <w:tabs>
          <w:tab w:val="left" w:pos="0"/>
          <w:tab w:val="left" w:pos="3402"/>
          <w:tab w:val="left" w:pos="4962"/>
          <w:tab w:val="left" w:pos="7088"/>
          <w:tab w:val="left" w:pos="8080"/>
        </w:tabs>
        <w:spacing w:after="0" w:line="240" w:lineRule="auto"/>
        <w:ind w:left="1080"/>
        <w:rPr>
          <w:rFonts w:ascii="Arial Rounded MT Bold" w:hAnsi="Arial Rounded MT Bold" w:cs="Arial"/>
          <w:sz w:val="20"/>
          <w:szCs w:val="20"/>
        </w:rPr>
      </w:pPr>
      <w:r w:rsidRPr="00C21972">
        <w:rPr>
          <w:rFonts w:ascii="Arial Rounded MT Bold" w:hAnsi="Arial Rounded MT Bold" w:cs="Arial"/>
          <w:sz w:val="20"/>
          <w:szCs w:val="20"/>
        </w:rPr>
        <w:t>Weitere Daten finden Sie unter Bedingungen für die Firmen Inhaltsversicherung Allianz (BFINH)</w:t>
      </w:r>
    </w:p>
    <w:p w14:paraId="4BF948EA" w14:textId="77777777" w:rsidR="00F36C1A" w:rsidRPr="00C21972" w:rsidRDefault="00F36C1A" w:rsidP="00E2605F">
      <w:pPr>
        <w:pStyle w:val="Listenabsatz"/>
        <w:tabs>
          <w:tab w:val="left" w:pos="0"/>
          <w:tab w:val="left" w:pos="3402"/>
          <w:tab w:val="left" w:pos="4962"/>
          <w:tab w:val="left" w:pos="7088"/>
          <w:tab w:val="left" w:pos="8080"/>
        </w:tabs>
        <w:spacing w:after="0" w:line="240" w:lineRule="auto"/>
        <w:ind w:left="1080"/>
        <w:rPr>
          <w:rFonts w:ascii="Arial Rounded MT Bold" w:hAnsi="Arial Rounded MT Bold" w:cs="Arial"/>
          <w:sz w:val="20"/>
          <w:szCs w:val="20"/>
        </w:rPr>
      </w:pPr>
      <w:r w:rsidRPr="00C21972">
        <w:rPr>
          <w:rFonts w:ascii="Arial Rounded MT Bold" w:hAnsi="Arial Rounded MT Bold" w:cs="Arial"/>
          <w:sz w:val="20"/>
          <w:szCs w:val="20"/>
        </w:rPr>
        <w:t xml:space="preserve">In der Feuerversicherung sind auf erstes Risiko versichert (berechnet aus der Versicherungssumme gemäß Vorderseite Ziffer 1.) </w:t>
      </w:r>
    </w:p>
    <w:p w14:paraId="356F09C8" w14:textId="77777777" w:rsidR="00F36C1A" w:rsidRPr="00C21972" w:rsidRDefault="00F36C1A" w:rsidP="00E2605F">
      <w:pPr>
        <w:pStyle w:val="Listenabsatz"/>
        <w:tabs>
          <w:tab w:val="left" w:pos="0"/>
          <w:tab w:val="left" w:pos="3402"/>
          <w:tab w:val="left" w:pos="4962"/>
          <w:tab w:val="left" w:pos="7088"/>
          <w:tab w:val="left" w:pos="8080"/>
        </w:tabs>
        <w:spacing w:after="0" w:line="240" w:lineRule="auto"/>
        <w:ind w:left="1080"/>
        <w:rPr>
          <w:rFonts w:ascii="Arial Rounded MT Bold" w:hAnsi="Arial Rounded MT Bold" w:cs="Arial"/>
          <w:sz w:val="20"/>
          <w:szCs w:val="20"/>
        </w:rPr>
      </w:pPr>
      <w:r w:rsidRPr="00C21972">
        <w:rPr>
          <w:rFonts w:ascii="Arial Rounded MT Bold" w:hAnsi="Arial Rounded MT Bold" w:cs="Arial"/>
          <w:sz w:val="20"/>
          <w:szCs w:val="20"/>
        </w:rPr>
        <w:t>Überspannungsschäden durch Blitz unter Einschluss von Folgeschäden; Selbstbehalt 10% je Schaden, mind. 500€ max. 1.000€) bis höchstens 20.000€.</w:t>
      </w:r>
    </w:p>
    <w:p w14:paraId="7FD71026" w14:textId="77777777" w:rsidR="00F36C1A" w:rsidRPr="00C21972" w:rsidRDefault="00F36C1A" w:rsidP="00E2605F">
      <w:pPr>
        <w:pStyle w:val="Listenabsatz"/>
        <w:tabs>
          <w:tab w:val="left" w:pos="0"/>
          <w:tab w:val="left" w:pos="3402"/>
          <w:tab w:val="left" w:pos="4962"/>
          <w:tab w:val="left" w:pos="7088"/>
          <w:tab w:val="left" w:pos="8080"/>
        </w:tabs>
        <w:spacing w:after="0" w:line="240" w:lineRule="auto"/>
        <w:ind w:left="1080"/>
        <w:rPr>
          <w:rFonts w:ascii="Arial Rounded MT Bold" w:hAnsi="Arial Rounded MT Bold" w:cs="Arial"/>
          <w:sz w:val="20"/>
          <w:szCs w:val="20"/>
        </w:rPr>
      </w:pPr>
    </w:p>
    <w:p w14:paraId="7893817B" w14:textId="77777777" w:rsidR="000816D4" w:rsidRPr="00C21972" w:rsidRDefault="000816D4" w:rsidP="00E2605F">
      <w:pPr>
        <w:pStyle w:val="Listenabsatz"/>
        <w:tabs>
          <w:tab w:val="left" w:pos="0"/>
          <w:tab w:val="left" w:pos="3402"/>
          <w:tab w:val="left" w:pos="4962"/>
          <w:tab w:val="left" w:pos="7088"/>
          <w:tab w:val="left" w:pos="8080"/>
        </w:tabs>
        <w:spacing w:after="0" w:line="240" w:lineRule="auto"/>
        <w:ind w:left="1080"/>
        <w:rPr>
          <w:rFonts w:ascii="Arial Rounded MT Bold" w:hAnsi="Arial Rounded MT Bold" w:cs="Arial"/>
          <w:sz w:val="20"/>
          <w:szCs w:val="20"/>
        </w:rPr>
      </w:pPr>
    </w:p>
    <w:p w14:paraId="4DDB394E" w14:textId="77777777" w:rsidR="00F36C1A" w:rsidRPr="007270CE" w:rsidRDefault="00F36C1A" w:rsidP="00E2605F">
      <w:pPr>
        <w:pStyle w:val="Listenabsatz"/>
        <w:numPr>
          <w:ilvl w:val="0"/>
          <w:numId w:val="2"/>
        </w:numPr>
        <w:tabs>
          <w:tab w:val="left" w:pos="0"/>
          <w:tab w:val="left" w:pos="3402"/>
          <w:tab w:val="left" w:pos="4962"/>
          <w:tab w:val="left" w:pos="7088"/>
          <w:tab w:val="left" w:pos="8080"/>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t>Versicherungswert die eingelagerten Gegenstände sind</w:t>
      </w:r>
    </w:p>
    <w:p w14:paraId="6E323548" w14:textId="77777777" w:rsidR="00F36C1A" w:rsidRPr="00C21972" w:rsidRDefault="00F36C1A"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b/>
          <w:sz w:val="20"/>
          <w:szCs w:val="20"/>
        </w:rPr>
      </w:pPr>
    </w:p>
    <w:p w14:paraId="17330418" w14:textId="77777777" w:rsidR="00F36C1A" w:rsidRPr="00C21972" w:rsidRDefault="00DD7FE3"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zum Zeitwert versichert, falls er weniger als 40% des Neuwerts beträgt. Der Zeitwert ergibt sich aus dem Neuwert der Sache durch einen Abzug entsprechend ihrem insbesondere durch den Abnutzungsgrad bestimmten Zustand.</w:t>
      </w:r>
    </w:p>
    <w:p w14:paraId="0DC59B10" w14:textId="77777777" w:rsidR="00DD7FE3" w:rsidRPr="002E3F8E" w:rsidRDefault="00DD7FE3" w:rsidP="002E3F8E">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70DA7AB8" w14:textId="77777777" w:rsidR="00DD7FE3" w:rsidRPr="00C21972" w:rsidRDefault="00DD7FE3"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08A2D0BF" w14:textId="77777777" w:rsidR="00DD7FE3" w:rsidRPr="007270CE" w:rsidRDefault="00C02641" w:rsidP="00E2605F">
      <w:pPr>
        <w:pStyle w:val="Listenabsatz"/>
        <w:numPr>
          <w:ilvl w:val="0"/>
          <w:numId w:val="2"/>
        </w:numPr>
        <w:tabs>
          <w:tab w:val="left" w:pos="0"/>
          <w:tab w:val="left" w:pos="3402"/>
          <w:tab w:val="left" w:pos="4962"/>
          <w:tab w:val="left" w:pos="7088"/>
          <w:tab w:val="left" w:pos="8080"/>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t xml:space="preserve">Gefahrerhöhung in Ergänzung der in Ziffer 1. </w:t>
      </w:r>
      <w:r w:rsidR="003930B9" w:rsidRPr="007270CE">
        <w:rPr>
          <w:rFonts w:ascii="Arial Rounded MT Bold" w:hAnsi="Arial Rounded MT Bold" w:cs="Arial"/>
          <w:b/>
          <w:i/>
          <w:sz w:val="24"/>
          <w:szCs w:val="24"/>
        </w:rPr>
        <w:t>g</w:t>
      </w:r>
      <w:r w:rsidRPr="007270CE">
        <w:rPr>
          <w:rFonts w:ascii="Arial Rounded MT Bold" w:hAnsi="Arial Rounded MT Bold" w:cs="Arial"/>
          <w:b/>
          <w:i/>
          <w:sz w:val="24"/>
          <w:szCs w:val="24"/>
        </w:rPr>
        <w:t xml:space="preserve">enannten Versicherungsbedingungen gilt vereinbart: </w:t>
      </w:r>
    </w:p>
    <w:p w14:paraId="692ED214" w14:textId="77777777" w:rsidR="00C02641" w:rsidRPr="00C21972" w:rsidRDefault="00C02641"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443E26ED" w14:textId="77777777" w:rsidR="00C02641" w:rsidRPr="00C21972" w:rsidRDefault="00C02641"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Verstößt der Mieter / Versicherungsnehmer gegen die im Mietvertrag genannten Einlagerungsbestimmungen und gegen das Verbot zur </w:t>
      </w:r>
      <w:r w:rsidR="00F932FD" w:rsidRPr="00C21972">
        <w:rPr>
          <w:rFonts w:ascii="Arial Rounded MT Bold" w:hAnsi="Arial Rounded MT Bold" w:cs="Arial"/>
          <w:sz w:val="20"/>
          <w:szCs w:val="20"/>
        </w:rPr>
        <w:t xml:space="preserve">Lagerung von verderblichen Waren, leicht entflammbaren Materialien/Stoffe, Waffen, Sprengstoffen oder anderen explosiven Stoffen, Drogen, Suchtgiften, Chemikalien und radioaktiven Materialien, toxischen Abfallstoffen, Sondermüll oder anderen gefährlichen Materialien, kann der Versicherer zur Kündigung berechtig und auch leistungsfrei sein. </w:t>
      </w:r>
    </w:p>
    <w:p w14:paraId="1F682DE3" w14:textId="77777777" w:rsidR="00F932FD" w:rsidRPr="00C21972" w:rsidRDefault="00F932FD"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7AB5247E" w14:textId="77777777" w:rsidR="0086147A" w:rsidRPr="00C21972" w:rsidRDefault="0086147A"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1245FD79" w14:textId="77777777" w:rsidR="00EB3FA7" w:rsidRPr="007270CE" w:rsidRDefault="00582C74" w:rsidP="00E2605F">
      <w:pPr>
        <w:pStyle w:val="Listenabsatz"/>
        <w:numPr>
          <w:ilvl w:val="0"/>
          <w:numId w:val="2"/>
        </w:numPr>
        <w:tabs>
          <w:tab w:val="left" w:pos="0"/>
          <w:tab w:val="left" w:pos="3402"/>
          <w:tab w:val="left" w:pos="4962"/>
          <w:tab w:val="left" w:pos="7088"/>
          <w:tab w:val="left" w:pos="8080"/>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t>Prämie</w:t>
      </w:r>
      <w:r w:rsidR="00EB3FA7" w:rsidRPr="007270CE">
        <w:rPr>
          <w:rFonts w:ascii="Arial Rounded MT Bold" w:hAnsi="Arial Rounded MT Bold" w:cs="Arial"/>
          <w:b/>
          <w:i/>
          <w:sz w:val="24"/>
          <w:szCs w:val="24"/>
        </w:rPr>
        <w:t xml:space="preserve">, Beginn und Ende der Haftung Abweichend von den in Ziffer 1. genannten Versicherungsbedingungen gilt vereinbart: </w:t>
      </w:r>
    </w:p>
    <w:p w14:paraId="2219BCA3" w14:textId="77777777" w:rsidR="0084670E" w:rsidRPr="00C21972" w:rsidRDefault="0084670E"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b/>
          <w:sz w:val="20"/>
          <w:szCs w:val="20"/>
        </w:rPr>
      </w:pPr>
    </w:p>
    <w:p w14:paraId="50667D19" w14:textId="77777777" w:rsidR="0084670E" w:rsidRPr="00C21972" w:rsidRDefault="0084670E"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lastRenderedPageBreak/>
        <w:t xml:space="preserve">Die Versicherungsprämie wird bei Abschluss des Versicherungsvertrags analog der Laufzeit des Mietvertrags erhoben und vom Vermieter an den Versicherer abgeführt. Der Beginn und das Ende der Haftung des Versicherers ist identisch mit dem Mietbeginn und dem Mietende gemäß zugrundeliegendem Mietvertrag. </w:t>
      </w:r>
    </w:p>
    <w:p w14:paraId="06DA17A7" w14:textId="77777777" w:rsidR="0084670E" w:rsidRPr="00C21972" w:rsidRDefault="0084670E"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77CA26E6" w14:textId="77777777" w:rsidR="0086147A" w:rsidRPr="00C21972" w:rsidRDefault="0086147A"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21433F77" w14:textId="77777777" w:rsidR="0084670E" w:rsidRPr="007270CE" w:rsidRDefault="00C21972" w:rsidP="00922A7A">
      <w:pPr>
        <w:pStyle w:val="Listenabsatz"/>
        <w:numPr>
          <w:ilvl w:val="0"/>
          <w:numId w:val="2"/>
        </w:numPr>
        <w:tabs>
          <w:tab w:val="left" w:pos="851"/>
        </w:tabs>
        <w:spacing w:after="0" w:line="240" w:lineRule="auto"/>
        <w:rPr>
          <w:rFonts w:ascii="Arial Rounded MT Bold" w:hAnsi="Arial Rounded MT Bold" w:cs="Arial"/>
          <w:b/>
          <w:i/>
          <w:sz w:val="24"/>
          <w:szCs w:val="24"/>
        </w:rPr>
      </w:pPr>
      <w:r w:rsidRPr="007270CE">
        <w:rPr>
          <w:rFonts w:ascii="Arial Rounded MT Bold" w:hAnsi="Arial Rounded MT Bold" w:cs="Arial"/>
          <w:b/>
          <w:i/>
          <w:sz w:val="24"/>
          <w:szCs w:val="24"/>
        </w:rPr>
        <w:t>H</w:t>
      </w:r>
      <w:r w:rsidR="0084670E" w:rsidRPr="007270CE">
        <w:rPr>
          <w:rFonts w:ascii="Arial Rounded MT Bold" w:hAnsi="Arial Rounded MT Bold" w:cs="Arial"/>
          <w:b/>
          <w:i/>
          <w:sz w:val="24"/>
          <w:szCs w:val="24"/>
        </w:rPr>
        <w:t xml:space="preserve">öhere Gewalt </w:t>
      </w:r>
    </w:p>
    <w:p w14:paraId="2BE68017" w14:textId="77777777" w:rsidR="0084670E" w:rsidRPr="00C21972" w:rsidRDefault="0084670E"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44CCAD40" w14:textId="77777777" w:rsidR="0084670E" w:rsidRPr="00C21972" w:rsidRDefault="0084670E"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Abweichend von dem in Ziffer 1. genannten Versicherungsbedingungen der Vermieter hat alle erforderlichen Maßnahmen Instandhaltung oder zum Schutz/Erhalt der Mietsache getroffen. Die Ausführung der Maßnahme obliegt dem Vermieter (der Vermieter darf sich also aussuchen wer evtl. notwendige Maßnahmen wie ausführt) </w:t>
      </w:r>
    </w:p>
    <w:p w14:paraId="7B1F413F" w14:textId="77777777" w:rsidR="0084670E" w:rsidRPr="00C21972" w:rsidRDefault="0084670E" w:rsidP="00E2605F">
      <w:pPr>
        <w:pStyle w:val="Listenabsatz"/>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falls der Vermieter den Befall von Ungeziefer und hier insbesondere von Mäusen und Ratten zu vertreten hat, kann der Mieter evtl. Kostenersatz verlangen. Dies gilt nur wenn (z.B. der Mäusebefall vom Vermieter oder dessen Gewerbe verursacht wurde)</w:t>
      </w:r>
    </w:p>
    <w:p w14:paraId="7916F549" w14:textId="77777777" w:rsidR="0084670E" w:rsidRPr="00C21972" w:rsidRDefault="0084670E"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00CCE4D7" w14:textId="77777777" w:rsidR="0084670E" w:rsidRPr="00C21972" w:rsidRDefault="0084670E"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4F73AE32" w14:textId="77777777" w:rsidR="0084670E" w:rsidRPr="007270CE" w:rsidRDefault="0084670E" w:rsidP="00E2605F">
      <w:pPr>
        <w:tabs>
          <w:tab w:val="left" w:pos="0"/>
          <w:tab w:val="left" w:pos="3402"/>
          <w:tab w:val="left" w:pos="4962"/>
          <w:tab w:val="left" w:pos="7088"/>
          <w:tab w:val="left" w:pos="8080"/>
        </w:tabs>
        <w:spacing w:after="0" w:line="240" w:lineRule="auto"/>
        <w:rPr>
          <w:rFonts w:ascii="Arial Rounded MT Bold" w:hAnsi="Arial Rounded MT Bold" w:cs="Arial"/>
          <w:b/>
          <w:sz w:val="20"/>
          <w:szCs w:val="20"/>
        </w:rPr>
      </w:pPr>
      <w:r w:rsidRPr="007270CE">
        <w:rPr>
          <w:rFonts w:ascii="Arial Rounded MT Bold" w:hAnsi="Arial Rounded MT Bold" w:cs="Arial"/>
          <w:b/>
          <w:sz w:val="20"/>
          <w:szCs w:val="20"/>
        </w:rPr>
        <w:t>Allianz</w:t>
      </w:r>
      <w:r w:rsidR="00F62417" w:rsidRPr="007270CE">
        <w:rPr>
          <w:rFonts w:ascii="Arial Rounded MT Bold" w:hAnsi="Arial Rounded MT Bold" w:cs="Arial"/>
          <w:b/>
          <w:sz w:val="20"/>
          <w:szCs w:val="20"/>
        </w:rPr>
        <w:t xml:space="preserve"> </w:t>
      </w:r>
      <w:r w:rsidR="00244FD6" w:rsidRPr="007270CE">
        <w:rPr>
          <w:rFonts w:ascii="Arial Rounded MT Bold" w:hAnsi="Arial Rounded MT Bold" w:cs="Arial"/>
          <w:b/>
          <w:sz w:val="20"/>
          <w:szCs w:val="20"/>
        </w:rPr>
        <w:t xml:space="preserve">Versicherung </w:t>
      </w:r>
    </w:p>
    <w:p w14:paraId="23EEA6CF" w14:textId="77777777" w:rsidR="00244FD6" w:rsidRPr="00C21972" w:rsidRDefault="00244FD6"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Anschrift: Königinstraße 28, 80802 München</w:t>
      </w:r>
    </w:p>
    <w:p w14:paraId="15820EB2" w14:textId="77777777" w:rsidR="000C315C" w:rsidRPr="00C21972" w:rsidRDefault="000C315C"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Sitz der Gesellschaft: München</w:t>
      </w:r>
    </w:p>
    <w:p w14:paraId="397A7EAF" w14:textId="77777777" w:rsidR="000C315C" w:rsidRPr="00C21972" w:rsidRDefault="000C315C"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Registergericht: Amtsgericht München HRB 158878</w:t>
      </w:r>
    </w:p>
    <w:p w14:paraId="2B5AC602" w14:textId="77777777" w:rsidR="000C315C" w:rsidRPr="00C21972" w:rsidRDefault="000C315C"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r w:rsidRPr="00C21972">
        <w:rPr>
          <w:rFonts w:ascii="Arial Rounded MT Bold" w:hAnsi="Arial Rounded MT Bold" w:cs="Arial"/>
          <w:sz w:val="20"/>
          <w:szCs w:val="20"/>
        </w:rPr>
        <w:t xml:space="preserve">Für Umsatzsteuerzwecke: </w:t>
      </w:r>
      <w:proofErr w:type="spellStart"/>
      <w:r w:rsidRPr="00C21972">
        <w:rPr>
          <w:rFonts w:ascii="Arial Rounded MT Bold" w:hAnsi="Arial Rounded MT Bold" w:cs="Arial"/>
          <w:sz w:val="20"/>
          <w:szCs w:val="20"/>
        </w:rPr>
        <w:t>USt-IdNr</w:t>
      </w:r>
      <w:proofErr w:type="spellEnd"/>
      <w:r w:rsidRPr="00C21972">
        <w:rPr>
          <w:rFonts w:ascii="Arial Rounded MT Bold" w:hAnsi="Arial Rounded MT Bold" w:cs="Arial"/>
          <w:sz w:val="20"/>
          <w:szCs w:val="20"/>
        </w:rPr>
        <w:t xml:space="preserve">, DE 814 580 981 </w:t>
      </w:r>
    </w:p>
    <w:p w14:paraId="546B0AAD" w14:textId="77777777" w:rsidR="00F36C1A" w:rsidRPr="00C21972" w:rsidRDefault="00F36C1A"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2985616C" w14:textId="77777777" w:rsidR="000C315C" w:rsidRPr="00C21972" w:rsidRDefault="000C315C" w:rsidP="00E2605F">
      <w:pPr>
        <w:tabs>
          <w:tab w:val="left" w:pos="0"/>
          <w:tab w:val="left" w:pos="3402"/>
          <w:tab w:val="left" w:pos="4962"/>
          <w:tab w:val="left" w:pos="7088"/>
          <w:tab w:val="left" w:pos="8080"/>
        </w:tabs>
        <w:spacing w:after="0" w:line="240" w:lineRule="auto"/>
        <w:rPr>
          <w:rFonts w:ascii="Arial Rounded MT Bold" w:hAnsi="Arial Rounded MT Bold" w:cs="Arial"/>
          <w:sz w:val="20"/>
          <w:szCs w:val="20"/>
        </w:rPr>
      </w:pPr>
    </w:p>
    <w:p w14:paraId="24C5916E" w14:textId="77777777" w:rsidR="000C315C" w:rsidRPr="00C21972" w:rsidRDefault="000C315C" w:rsidP="00E2605F">
      <w:pPr>
        <w:tabs>
          <w:tab w:val="left" w:pos="0"/>
          <w:tab w:val="left" w:pos="3402"/>
          <w:tab w:val="left" w:pos="4962"/>
          <w:tab w:val="left" w:pos="5670"/>
          <w:tab w:val="left" w:pos="7088"/>
        </w:tabs>
        <w:spacing w:after="0" w:line="240" w:lineRule="auto"/>
        <w:rPr>
          <w:rFonts w:ascii="Arial Rounded MT Bold" w:hAnsi="Arial Rounded MT Bold" w:cs="Arial"/>
          <w:sz w:val="20"/>
          <w:szCs w:val="20"/>
          <w:u w:val="single"/>
        </w:rPr>
      </w:pPr>
    </w:p>
    <w:p w14:paraId="4A68F503" w14:textId="3FC105E1" w:rsidR="000C315C" w:rsidRPr="00C21972" w:rsidRDefault="000C315C" w:rsidP="00A37F25">
      <w:pPr>
        <w:tabs>
          <w:tab w:val="left" w:pos="0"/>
          <w:tab w:val="left" w:pos="3402"/>
          <w:tab w:val="left" w:pos="4962"/>
          <w:tab w:val="left" w:pos="6521"/>
          <w:tab w:val="left" w:pos="7088"/>
        </w:tabs>
        <w:spacing w:after="0" w:line="240" w:lineRule="auto"/>
        <w:rPr>
          <w:rFonts w:ascii="Arial Rounded MT Bold" w:hAnsi="Arial Rounded MT Bold" w:cs="Arial"/>
          <w:sz w:val="20"/>
          <w:szCs w:val="20"/>
          <w:u w:val="single"/>
        </w:rPr>
      </w:pPr>
    </w:p>
    <w:p w14:paraId="378C5BF1" w14:textId="77777777" w:rsidR="00F36C1A" w:rsidRPr="00C21972" w:rsidRDefault="00F36C1A" w:rsidP="00E2605F">
      <w:pPr>
        <w:pStyle w:val="Listenabsatz"/>
        <w:tabs>
          <w:tab w:val="left" w:pos="0"/>
          <w:tab w:val="left" w:pos="3402"/>
          <w:tab w:val="left" w:pos="4962"/>
          <w:tab w:val="left" w:pos="7088"/>
          <w:tab w:val="left" w:pos="8080"/>
        </w:tabs>
        <w:spacing w:after="0" w:line="240" w:lineRule="auto"/>
        <w:ind w:left="1080"/>
        <w:rPr>
          <w:rFonts w:ascii="Arial Rounded MT Bold" w:hAnsi="Arial Rounded MT Bold" w:cs="Arial"/>
          <w:sz w:val="20"/>
          <w:szCs w:val="20"/>
        </w:rPr>
      </w:pPr>
    </w:p>
    <w:p w14:paraId="1EAFFCF4" w14:textId="77777777" w:rsidR="00A04B86" w:rsidRPr="00C21972" w:rsidRDefault="00A04B86" w:rsidP="00E2605F">
      <w:pPr>
        <w:tabs>
          <w:tab w:val="left" w:pos="0"/>
          <w:tab w:val="left" w:pos="3402"/>
          <w:tab w:val="left" w:pos="7088"/>
          <w:tab w:val="left" w:pos="8080"/>
        </w:tabs>
        <w:spacing w:after="0" w:line="240" w:lineRule="auto"/>
        <w:rPr>
          <w:rFonts w:ascii="Arial Rounded MT Bold" w:hAnsi="Arial Rounded MT Bold" w:cs="Arial"/>
          <w:sz w:val="20"/>
          <w:szCs w:val="20"/>
        </w:rPr>
      </w:pPr>
    </w:p>
    <w:sectPr w:rsidR="00A04B86" w:rsidRPr="00C21972" w:rsidSect="00CA406F">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0201" w14:textId="77777777" w:rsidR="0021285E" w:rsidRDefault="0021285E" w:rsidP="000816D4">
      <w:pPr>
        <w:spacing w:after="0" w:line="240" w:lineRule="auto"/>
      </w:pPr>
      <w:r>
        <w:separator/>
      </w:r>
    </w:p>
  </w:endnote>
  <w:endnote w:type="continuationSeparator" w:id="0">
    <w:p w14:paraId="1BF1C1D9" w14:textId="77777777" w:rsidR="0021285E" w:rsidRDefault="0021285E" w:rsidP="0008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CC4B" w14:textId="77777777" w:rsidR="0021285E" w:rsidRDefault="0021285E" w:rsidP="000816D4">
      <w:pPr>
        <w:spacing w:after="0" w:line="240" w:lineRule="auto"/>
      </w:pPr>
      <w:r>
        <w:separator/>
      </w:r>
    </w:p>
  </w:footnote>
  <w:footnote w:type="continuationSeparator" w:id="0">
    <w:p w14:paraId="54B5472A" w14:textId="77777777" w:rsidR="0021285E" w:rsidRDefault="0021285E" w:rsidP="0008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5FB"/>
    <w:multiLevelType w:val="hybridMultilevel"/>
    <w:tmpl w:val="DF60E3A0"/>
    <w:lvl w:ilvl="0" w:tplc="84A2CB0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1A550BC"/>
    <w:multiLevelType w:val="hybridMultilevel"/>
    <w:tmpl w:val="894CAF20"/>
    <w:lvl w:ilvl="0" w:tplc="090C5A16">
      <w:start w:val="7"/>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4334DF0"/>
    <w:multiLevelType w:val="hybridMultilevel"/>
    <w:tmpl w:val="DF60E3A0"/>
    <w:lvl w:ilvl="0" w:tplc="84A2CB0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0A236F4"/>
    <w:multiLevelType w:val="hybridMultilevel"/>
    <w:tmpl w:val="E012B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471963"/>
    <w:multiLevelType w:val="hybridMultilevel"/>
    <w:tmpl w:val="F95E20C4"/>
    <w:lvl w:ilvl="0" w:tplc="84A2CB0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FB126D8"/>
    <w:multiLevelType w:val="hybridMultilevel"/>
    <w:tmpl w:val="8CD652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742FD9"/>
    <w:multiLevelType w:val="hybridMultilevel"/>
    <w:tmpl w:val="72905F20"/>
    <w:lvl w:ilvl="0" w:tplc="0D5AAA8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506023215">
    <w:abstractNumId w:val="3"/>
  </w:num>
  <w:num w:numId="2" w16cid:durableId="768544629">
    <w:abstractNumId w:val="5"/>
  </w:num>
  <w:num w:numId="3" w16cid:durableId="1189561305">
    <w:abstractNumId w:val="6"/>
  </w:num>
  <w:num w:numId="4" w16cid:durableId="913971400">
    <w:abstractNumId w:val="2"/>
  </w:num>
  <w:num w:numId="5" w16cid:durableId="1377897424">
    <w:abstractNumId w:val="4"/>
  </w:num>
  <w:num w:numId="6" w16cid:durableId="556014692">
    <w:abstractNumId w:val="0"/>
  </w:num>
  <w:num w:numId="7" w16cid:durableId="1620645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01"/>
    <w:rsid w:val="00070859"/>
    <w:rsid w:val="00077A23"/>
    <w:rsid w:val="000816D4"/>
    <w:rsid w:val="000A66A4"/>
    <w:rsid w:val="000C315C"/>
    <w:rsid w:val="00116357"/>
    <w:rsid w:val="00196E51"/>
    <w:rsid w:val="001B3880"/>
    <w:rsid w:val="001E6E2B"/>
    <w:rsid w:val="001F31ED"/>
    <w:rsid w:val="0021285E"/>
    <w:rsid w:val="00244FD6"/>
    <w:rsid w:val="00246B83"/>
    <w:rsid w:val="002472F0"/>
    <w:rsid w:val="0028138E"/>
    <w:rsid w:val="002A24A7"/>
    <w:rsid w:val="002E3F8E"/>
    <w:rsid w:val="00375CD8"/>
    <w:rsid w:val="00376A96"/>
    <w:rsid w:val="003930B9"/>
    <w:rsid w:val="004A7684"/>
    <w:rsid w:val="004F51AE"/>
    <w:rsid w:val="004F6E0A"/>
    <w:rsid w:val="00582C74"/>
    <w:rsid w:val="005B7339"/>
    <w:rsid w:val="006262EE"/>
    <w:rsid w:val="006F08E1"/>
    <w:rsid w:val="007270CE"/>
    <w:rsid w:val="00744372"/>
    <w:rsid w:val="007700C7"/>
    <w:rsid w:val="007F75F2"/>
    <w:rsid w:val="00836881"/>
    <w:rsid w:val="008411F3"/>
    <w:rsid w:val="0084670E"/>
    <w:rsid w:val="0086147A"/>
    <w:rsid w:val="00882CA3"/>
    <w:rsid w:val="008872E6"/>
    <w:rsid w:val="00897D0F"/>
    <w:rsid w:val="008C12E9"/>
    <w:rsid w:val="008D1257"/>
    <w:rsid w:val="00922A7A"/>
    <w:rsid w:val="0098413B"/>
    <w:rsid w:val="009A71F8"/>
    <w:rsid w:val="009C456B"/>
    <w:rsid w:val="00A04B86"/>
    <w:rsid w:val="00A1781C"/>
    <w:rsid w:val="00A35A6F"/>
    <w:rsid w:val="00A37F25"/>
    <w:rsid w:val="00A67256"/>
    <w:rsid w:val="00A836C0"/>
    <w:rsid w:val="00A9096E"/>
    <w:rsid w:val="00AA6B45"/>
    <w:rsid w:val="00B126EF"/>
    <w:rsid w:val="00BF23EA"/>
    <w:rsid w:val="00C00601"/>
    <w:rsid w:val="00C02641"/>
    <w:rsid w:val="00C21972"/>
    <w:rsid w:val="00C458C3"/>
    <w:rsid w:val="00CA406F"/>
    <w:rsid w:val="00CB30D6"/>
    <w:rsid w:val="00CD4A28"/>
    <w:rsid w:val="00D77A0F"/>
    <w:rsid w:val="00DB5B17"/>
    <w:rsid w:val="00DD6987"/>
    <w:rsid w:val="00DD7FE3"/>
    <w:rsid w:val="00DF573B"/>
    <w:rsid w:val="00E06BD9"/>
    <w:rsid w:val="00E2605F"/>
    <w:rsid w:val="00EB3FA7"/>
    <w:rsid w:val="00F127E4"/>
    <w:rsid w:val="00F1358F"/>
    <w:rsid w:val="00F3283B"/>
    <w:rsid w:val="00F36C1A"/>
    <w:rsid w:val="00F372B9"/>
    <w:rsid w:val="00F62417"/>
    <w:rsid w:val="00F932FD"/>
    <w:rsid w:val="00FA2727"/>
    <w:rsid w:val="00FA62F4"/>
    <w:rsid w:val="00FB0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26421"/>
  <w15:chartTrackingRefBased/>
  <w15:docId w15:val="{A1256D84-0B18-44D7-900E-65CA2CD3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31ED"/>
    <w:pPr>
      <w:ind w:left="720"/>
      <w:contextualSpacing/>
    </w:pPr>
  </w:style>
  <w:style w:type="table" w:styleId="Tabellenraster">
    <w:name w:val="Table Grid"/>
    <w:basedOn w:val="NormaleTabelle"/>
    <w:uiPriority w:val="39"/>
    <w:rsid w:val="00E0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81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16D4"/>
  </w:style>
  <w:style w:type="paragraph" w:styleId="Fuzeile">
    <w:name w:val="footer"/>
    <w:basedOn w:val="Standard"/>
    <w:link w:val="FuzeileZchn"/>
    <w:uiPriority w:val="99"/>
    <w:unhideWhenUsed/>
    <w:rsid w:val="00081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6D4"/>
  </w:style>
  <w:style w:type="paragraph" w:styleId="Sprechblasentext">
    <w:name w:val="Balloon Text"/>
    <w:basedOn w:val="Standard"/>
    <w:link w:val="SprechblasentextZchn"/>
    <w:uiPriority w:val="99"/>
    <w:semiHidden/>
    <w:unhideWhenUsed/>
    <w:rsid w:val="00375C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B01F-1435-452D-BEBA-28EF33AD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PC-Zhao</dc:creator>
  <cp:keywords/>
  <dc:description/>
  <cp:lastModifiedBy>Thomas Richter</cp:lastModifiedBy>
  <cp:revision>3</cp:revision>
  <cp:lastPrinted>2019-04-05T14:30:00Z</cp:lastPrinted>
  <dcterms:created xsi:type="dcterms:W3CDTF">2022-06-04T09:04:00Z</dcterms:created>
  <dcterms:modified xsi:type="dcterms:W3CDTF">2022-06-04T09:14:00Z</dcterms:modified>
</cp:coreProperties>
</file>